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132/2017 vom 13. März 2017</w:t>
      </w:r>
    </w:p>
    <w:p>
      <w:r>
        <w:t>Bundesgericht, 2017-03-13, DE</w:t>
      </w:r>
    </w:p>
    <w:p>
      <w:r>
        <w:rPr>
          <w:b/>
        </w:rPr>
        <w:t xml:space="preserve">Quelle: </w:t>
      </w:r>
      <w:r>
        <w:t>https://mcp.opencaselaw.ch/entscheid/bger_1C_132_2017</w:t>
      </w:r>
    </w:p>
    <w:p>
      <w:r>
        <w:t>FR: TF 1C 132/2017 du 13 mars 2017</w:t>
      </w:r>
    </w:p>
    <w:p>
      <w:r>
        <w:t>IT: TF 1C 132/2017 del 13 marzo 2017</w:t>
      </w:r>
    </w:p>
    <w:p>
      <w:pPr>
        <w:pStyle w:val="Heading2"/>
      </w:pPr>
      <w:r>
        <w:t>Regeste</w:t>
      </w:r>
    </w:p>
    <w:p>
      <w:r>
        <w:t>Auslieferung nach Deutschland | Rechtshilfe und Auslieferung</w:t>
      </w:r>
    </w:p>
    <w:p>
      <w:pPr>
        <w:pStyle w:val="Heading2"/>
      </w:pPr>
      <w:r>
        <w:t>Erwägungen</w:t>
      </w:r>
    </w:p>
    <w:p>
      <w:r>
        <w:rPr>
          <w:b/>
        </w:rPr>
        <w:t>E. 1</w:t>
      </w:r>
    </w:p>
    <w:p>
      <w:r>
        <w:t>Die Eingabe des Beschwerdeführers vom 1. März 2017 ist als Beschwerde in öffentlich-rechtlichen Angelegenheiten gemäss Art. 82 ff. BGG zu betrachten. Der Beschwerdeführer hat sie innerhalb der Beschwerdefrist ( Art. 100 Abs. 2 lit. b BGG ) bei der Vorinstanz eingereicht. Nach Art. 48 Abs. 3 BGG schadet ihm das nicht. Die Beschwerde ist rechtzeitig.</w:t>
      </w:r>
    </w:p>
    <w:p>
      <w:r>
        <w:rPr>
          <w:b/>
        </w:rPr>
        <w:t>E. 2.1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Es kann dahingestellt bleiben, ob die Beschwerde den Begründungsanforderungen von Art. 42 Abs. 2 BGG genügt. Auf die Beschwerde kann jedenfalls deshalb nicht eingetreten werden, weil kein besonders bedeutender Fall nach Art. 84 BGG vorliegt. Die Vorinstanz hat sich mit den Einwänden des Beschwerdeführers auseinandergesetzt. Ihre Erwägungen, auf welche verwiesen werden kann ( Art. 109 Abs. 3 BGG ), lassen keine Bundesrechtsverletzung erkennen. Rechtsfragen von grundsätzlicher Bedeutung stellen sich nicht. Auch sonst wie kommt der Angelegenheit keine aussergewöhnliche Tragweite zu. Für das Bundesgericht besteht deshalb kein Anlass, die Sache an die Hand zu nehmen.</w:t>
      </w:r>
    </w:p>
    <w:p>
      <w:r>
        <w:rPr>
          <w:b/>
        </w:rPr>
        <w:t>E. 3</w:t>
      </w:r>
    </w:p>
    <w:p>
      <w:r>
        <w:t>Unter den gegebenen Umständen - der Beschwerdeführer befindet sich seit über 4 Monaten in Auslieferungshaft -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