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1C_132/2009 vom 3. April 2009</w:t>
      </w:r>
    </w:p>
    <w:p>
      <w:r>
        <w:t>Bundesgericht, 2009-04-03, FR</w:t>
      </w:r>
    </w:p>
    <w:p>
      <w:r>
        <w:rPr>
          <w:b/>
        </w:rPr>
        <w:t xml:space="preserve">Quelle: </w:t>
      </w:r>
      <w:r>
        <w:t>https://mcp.opencaselaw.ch/entscheid/bger_1C_132_2009</w:t>
      </w:r>
    </w:p>
    <w:p>
      <w:r>
        <w:t>FR: TF 1C_132/2009 du 3 avril 2009</w:t>
      </w:r>
    </w:p>
    <w:p>
      <w:r>
        <w:t>IT: TF 1C_132/2009 del 3 aprile 2009</w:t>
      </w:r>
    </w:p>
    <w:p>
      <w:pPr>
        <w:pStyle w:val="Heading2"/>
      </w:pPr>
      <w:r>
        <w:t>Erwägungen</w:t>
      </w:r>
    </w:p>
    <w:p>
      <w:r>
        <w:rPr>
          <w:b/>
        </w:rPr>
        <w:t>E. 1</w:t>
      </w:r>
    </w:p>
    <w:p>
      <w:r>
        <w:t>Les recours sont formés contre deux arrêts rendus dans une même procédure d'entraide, à l'égard de la même société. Il y a lieu de procéder à leur jonction et de statuer par un seul arrêt.</w:t>
      </w:r>
    </w:p>
    <w:p>
      <w:r>
        <w:rPr>
          <w:b/>
        </w:rPr>
        <w:t>E. 2</w:t>
      </w:r>
    </w:p>
    <w:p>
      <w:r>
        <w:t>Selon l' art. 109 al. 1 LTF , la cour siège à trois juges lorsqu'elle refuse d'entrer en matière sur un recours soumis à l'exigence de l' art. 84 LTF .</w:t>
      </w:r>
    </w:p>
    <w:p>
      <w:r>
        <w:rPr>
          <w:b/>
        </w:rPr>
        <w:t>E. 2.1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2.2</w:t>
      </w:r>
    </w:p>
    <w:p>
      <w:r>
        <w:t>En l'occurrence, les décisions de clôture portent bien sur la transmission de documents concernant le domaine secret. Toutefois, en dépit des explications de la recourante,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 En l'espèce, la demande d'entraide s'inscrit dans le cadre d'une procédure pénale qui n'a aucun caractère politique, et la recourante ne soutient pas qu'il existerait un risque de violation des principes fondamentaux ou d'autres vices graves.</w:t>
      </w:r>
    </w:p>
    <w:p>
      <w:r>
        <w:rPr>
          <w:b/>
        </w:rPr>
        <w:t>E. 2.3</w:t>
      </w:r>
    </w:p>
    <w:p>
      <w:r>
        <w:t>Le premier arrêt confirme la transmission de documents saisis auprès d'une banque. Le TPF a considéré que l'ensemble des moyens à décharge était irrecevable, y compris l'expertise financière produite par la recourante et l'interrogatoire de l'expert. Ce faisant, le TPF n'a fait qu'appliquer le principe selon lequel l'Etat requis n'a pas à vérifier la réalité des soupçons dont fait état la demande, et n'a donc pas non plus à procéder à une instruction à décharge (cf. notamment ATF 133 IV 76 consid. 2.2; 118 Ib 111 consid. 5b; 117 Ib 64 consid. 5c p. 88 et les arrêts cités). Les considérants de la Cour des plaintes sont donc conformes à la jurisprudence constante. Ils répondent également à la demande de la recourante de faire entendre l'expert en présence de l'autorité requérante, de sorte qu'il n'y a pas de violation du droit d'être entendu sur ce point.</w:t>
      </w:r>
    </w:p>
    <w:p>
      <w:r>
        <w:rPr>
          <w:b/>
        </w:rPr>
        <w:t>E. 2.4</w:t>
      </w:r>
    </w:p>
    <w:p>
      <w:r>
        <w:t>Quant au second arrêt de la Cour des plaintes, il déclare irrecevable le recours formé contre la transmission de documents saisis en mains d'une fiduciaire. Ce prononcé est, lui aussi, conforme à la jurisprudence ( ATF 130 II 162 concernant un avocat; arrêt 1A.293/2004 du 18 mars 2005 concernant une fiduciaire), et la recourante ne soulève pas le moindre argument à ce propos.</w:t>
      </w:r>
    </w:p>
    <w:p>
      <w:r>
        <w:rPr>
          <w:b/>
        </w:rPr>
        <w:t>E. 3</w:t>
      </w:r>
    </w:p>
    <w:p>
      <w:r>
        <w:t>Faute de concerner un cas particulièrement important ou de soulever une question juridique de principe, les recours sont irrecevables.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