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1C_130/2007 vom 11. Januar 2008</w:t>
      </w:r>
    </w:p>
    <w:p>
      <w:r>
        <w:t>Bundesgericht, 2008-01-11, DE</w:t>
      </w:r>
    </w:p>
    <w:p>
      <w:r>
        <w:rPr>
          <w:b/>
        </w:rPr>
        <w:t xml:space="preserve">Quelle: </w:t>
      </w:r>
      <w:r>
        <w:t>https://mcp.opencaselaw.ch/entscheid/bger_1C_130_2007</w:t>
      </w:r>
    </w:p>
    <w:p>
      <w:r>
        <w:t>FR: TF 1C_130/2007 du 11 janvier 2008</w:t>
      </w:r>
    </w:p>
    <w:p>
      <w:r>
        <w:t>IT: TF 1C_130/2007 del 11 gennaio 2008</w:t>
      </w:r>
    </w:p>
    <w:p>
      <w:pPr>
        <w:pStyle w:val="Heading2"/>
      </w:pPr>
      <w:r>
        <w:t>Erwägungen</w:t>
      </w:r>
    </w:p>
    <w:p>
      <w:r>
        <w:rPr>
          <w:b/>
        </w:rPr>
        <w:t>E. 1</w:t>
      </w:r>
    </w:p>
    <w:p>
      <w:r>
        <w:t>Gegen den angefochtenen, kantonal letztinstanzlichen Endentscheid des Verwaltungsgerichts steht die Beschwerde in öffentlich-rechtlichen Angelegenheiten grundsätzlich offen ( Art. 82 ff. BGG ).</w:t>
      </w:r>
    </w:p>
    <w:p>
      <w:r>
        <w:t>Die Beschwerdegegner und die Gemeinde bestreiten die Legitimation des Beschwerdeführers, der vor Bundesgericht nur noch die Verletzung des Walderhaltungsgebots nach Art. 17 Abs. 2 des Bundesgesetzes über den Wald vom 4. Oktober 1991 (WaG; SR 921.0) und die willkürliche Unterschreitung des kantonalen Waldabstands rügt.</w:t>
      </w:r>
    </w:p>
    <w:p>
      <w:r>
        <w:rPr>
          <w:b/>
        </w:rPr>
        <w:t>E. 1.1</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1.3.1 S. 252 f., 353 E. 3 S. 356 f.).</w:t>
      </w:r>
    </w:p>
    <w:p>
      <w:r>
        <w:rPr>
          <w:b/>
        </w:rPr>
        <w:t>E. 1.2</w:t>
      </w:r>
    </w:p>
    <w:p>
      <w:r>
        <w:t>Nach der Praxis zur Verwaltungsgerichtsbeschwerde wurde ein schutzwürdiges Interesse an der Einhaltung eines den bundesrechtlichen Minimalanforderungen genügenden Waldabstands bei Nachbarn bejaht, deren Parzelle sich in unmittelbarer Nähe des geplanten Bauvorhabens und der dortigen Waldfläche befindet (Entscheide 1A.293/2000 vom 10. April 2001 E. 1b, publ. in ZBl 103/2002 S. 485; 1A.275/1996 vom 19. September 1997 E. 1c, publ. in: ZBl 99/1998 S. 444; 1A.261/2005 vom 7. Dezember 2005 E. 1.3; Entscheid 1A.124/2004 vom 31. Mai 2005 E. 2.4, publ. in URP 2005 S. 542, SJ 2005 I S. 529 und RDAF 2006 I S. 663). Im Entscheid 1A.123/2005 vom 10. November 2005 E. 1.2.2 wurde offen gelassen, ob auch Nachbarn zur Beschwerde legitimiert seien, deren Parzelle an der waldabgewandten Seite der Bauparzelle liegt.</w:t>
      </w:r>
    </w:p>
    <w:p>
      <w:r>
        <w:t>Im vorliegenden Fall ist der Beschwerdeführer nicht direkter Nachbar der Bauparzelle: Seine Parzelle (Nr. 5073) liegt am Hang unterhalb der mit zwei Einfamilienhäusern überbauten Parzelle Nr. 5588, über der sich die Bauparzelle Nr. 666 befindet, die ihrerseits an den Wald angrenzt. Wie die Gemeinde in ihrer Vernehmlassung festhält, kann der Beschwerdeführer von seinem Haus aus weder die streitigen Neubauten noch den dahinter liegenden Waldrand sehen. Insofern hat er kein besonderes eigenes Interesse an der Respektierung des gesetzlichen Waldabstands, das über dasjenige der Allgemeinheit hinausgehen würde.</w:t>
      </w:r>
    </w:p>
    <w:p>
      <w:r>
        <w:rPr>
          <w:b/>
        </w:rPr>
        <w:t>E. 1.3</w:t>
      </w:r>
    </w:p>
    <w:p>
      <w:r>
        <w:t>Das Verwaltungsgericht bejahte die Legitimation des Beschwerdeführers im kantonalen Verfahren, weil die Zufahrt zum Baugrundstück über die benachbarte Parzelle Nr. 5588 führe und der Beschwerdeführer, aufgrund der Steilheit der geplanten Zufahrt und des zu erwartenden Mehrverkehrs, eine gewisse Beeinträchtigung im Genuss seiner Liegenschaft in Kauf zu nehmen habe, wenn das streitige Bauvorhaben realisiert werde.</w:t>
      </w:r>
    </w:p>
    <w:p>
      <w:r>
        <w:t>Im vorliegenden Verfahren ist jedoch die Erschliessung nicht mehr streitig, sondern es geht einzig um die Einhaltung des Waldabstands auf der westlichen, der Parzelle des Beschwerdeführers abgewandten Seite des Bauvorhabens. Es wird vom Beschwerdeführer nicht dargelegt, inwiefern ein direkter Zusammenhang zwischen der Einhaltung des Waldabstands und der ihn in erster Linie störenden Zufahrt besteht (zur Begründungspflicht im Hinblick auf die Beschwerdelegitimation vgl. BGE 133 II 249 E. 1.1 S. S. 251). Dies ist auch nicht ohne Weiteres ersichtlich.</w:t>
      </w:r>
    </w:p>
    <w:p>
      <w:r>
        <w:rPr>
          <w:b/>
        </w:rPr>
        <w:t>E. 2</w:t>
      </w:r>
    </w:p>
    <w:p>
      <w:r>
        <w:t>Nach dem Gesagten ist auf die Beschwerde mangels Legitimation nicht einzutreten.</w:t>
      </w:r>
    </w:p>
    <w:p>
      <w:r>
        <w:t>Bei diesem Ausgang des Verfahrens trägt der Beschwerdeführer die Gerichtskosten und muss die privaten Beschwerdegegner für die Kosten des bundesgerichtlichen Verfahrens entschädigen (Art. 65 f. und 68 BGG). Die Gemeinde Davos, die in ihrem amtlichen Wirkungskreis obsiegt, hat unter den gegebenen Verhältnissen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