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1C_12/2021 vom 17. März 2021</w:t>
      </w:r>
    </w:p>
    <w:p>
      <w:r>
        <w:t>Bundesgericht, 2021-03-17, DE</w:t>
      </w:r>
    </w:p>
    <w:p>
      <w:r>
        <w:rPr>
          <w:b/>
        </w:rPr>
        <w:t xml:space="preserve">Quelle: </w:t>
      </w:r>
      <w:r>
        <w:t>https://mcp.opencaselaw.ch/entscheid/bger_1C_12_2021</w:t>
      </w:r>
    </w:p>
    <w:p>
      <w:r>
        <w:t>FR: TF 1C_12/2021 du 17 mars 2021</w:t>
      </w:r>
    </w:p>
    <w:p>
      <w:r>
        <w:t>IT: TF 1C_12/2021 del 17 marzo 2021</w:t>
      </w:r>
    </w:p>
    <w:p>
      <w:pPr>
        <w:pStyle w:val="Heading2"/>
      </w:pPr>
      <w:r>
        <w:t>Erwägungen</w:t>
      </w:r>
    </w:p>
    <w:p>
      <w:r>
        <w:rPr>
          <w:b/>
        </w:rPr>
        <w:t>E. 1</w:t>
      </w:r>
    </w:p>
    <w:p>
      <w:r>
        <w:t>Im Ermächtigungsverfahren TB200145-O/Z2 hat das Obergericht des Kantons Zürich am 20. Januar 2021 das Gesuch von A.________ um Gewährung einer weiteren Fristerstreckung zur Stellungnahme gemäss Verfügung vom 13. November 2020 abgewiesen.</w:t>
      </w:r>
    </w:p>
    <w:p>
      <w:r>
        <w:t>Mit Beschwerde vom 7. Februar 2021 beantragt A.________, diese Verfügung für nichtig zu erklären, sie aufzuheben und das Obergericht anzuweisen, ihr Fristerstreckungsgesuch gutzuheissen.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S. 47; zum Ganzen: BGE 141 IV 284 E. 2.3 S. 287; 289 E. 1.3 S. 292).</w:t>
      </w:r>
    </w:p>
    <w:p>
      <w:r>
        <w:t>Die Beschwerdeführerin legt nicht dar, inwiefern ihr durch die angefochtene Verfügung ein nicht wiedergutzumachender Nachteil droht, und das ist auch nicht ersichtlich. Auf die Beschwerde ist im vereinfachten Verfahren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