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12/2016 vom 23. Mai 2016</w:t>
      </w:r>
    </w:p>
    <w:p>
      <w:r>
        <w:t>Bundesgericht, 2016-05-23, DE</w:t>
      </w:r>
    </w:p>
    <w:p>
      <w:r>
        <w:rPr>
          <w:b/>
        </w:rPr>
        <w:t xml:space="preserve">Quelle: </w:t>
      </w:r>
      <w:r>
        <w:t>https://mcp.opencaselaw.ch/entscheid/bger_1C_12_2016</w:t>
      </w:r>
    </w:p>
    <w:p>
      <w:r>
        <w:t>FR: TF 1C 12/2016 du 23 mai 2016</w:t>
      </w:r>
    </w:p>
    <w:p>
      <w:r>
        <w:t>IT: TF 1C 12/2016 del 23 maggio 2016</w:t>
      </w:r>
    </w:p>
    <w:p>
      <w:pPr>
        <w:pStyle w:val="Heading2"/>
      </w:pPr>
      <w:r>
        <w:t>Regeste</w:t>
      </w:r>
    </w:p>
    <w:p>
      <w:r>
        <w:t>Nichtigerklärung der erleichterten Einbürgerung | Bürgerrecht und Ausländerrecht</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Unzulässig ist allerdings der Antrag, die Verfügung des BFM aufzuheben. Diese ist im Rahmen des Streitgegenstands durch das angefochtene Urteil des Bundesverwaltungsgerichts ersetzt worden (Devolutiveffekt) und gilt als inhaltlich mitangefochten ( BGE 134 II 142 E. 1.4 S. 144). Die übrigen Sachurteilsvoraussetzungen geben zu keinen Bemerkungen Anlass, sodass auf die Beschwerde unter diesem Vorbehalt einzutreten ist.</w:t>
      </w:r>
    </w:p>
    <w:p>
      <w:r>
        <w:rPr>
          <w:b/>
        </w:rPr>
        <w:t>E. 2.1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2.4</w:t>
      </w:r>
    </w:p>
    <w:p>
      <w:r>
        <w:t>Gemäss dem hier anwendbaren, am 1. März 2011 in Kraft getretenen Art. 41 Abs. 1bis BüG (in der Fassung vom 25. September 2009; AS 2011 347)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Die Neuregelung löste die frühere fünfjährige Frist ab (vgl. AS 1952 1087; BGE 140 II 65 E. 2.3).</w:t>
      </w:r>
    </w:p>
    <w:p>
      <w:r>
        <w:rPr>
          <w:b/>
        </w:rPr>
        <w:t>E. 3.1</w:t>
      </w:r>
    </w:p>
    <w:p>
      <w:r>
        <w:t>Unbestritten ist, dass der Beschwerdeführer anfangs 2005, als er über keine gesicherte Aufenthaltsberechtigung verfügte, eine gleichaltrige Schweizerin kennenlernte, die wegen ihrer geistigen Behinderung eine IV-Rente bezog, und sie wenige Monate später, am 29. Juni 2005, heiratete. Unmittelbar nach Ablauf der dafür von Art. 27 Abs. 1 lit. c BüG festgelegten dreijährigen Frist stellte er ein Gesuch um erleichterte Einbürgerung, welchem am 25. Juni 2009 entsprochen wurde. Am 13. Februar 2010 beging er gegen seine Ehefrau eine Tätlichkeit, und am 22. März 2010 trennten sich die Eheleute.</w:t>
      </w:r>
    </w:p>
    <w:p>
      <w:r>
        <w:rPr>
          <w:b/>
        </w:rPr>
        <w:t>E. 3.2</w:t>
      </w:r>
    </w:p>
    <w:p>
      <w:r>
        <w:t>Die Chronologie der Ereignisse erweckt starke Zweifel daran, dass die Ehe zwischen dem Beschwerdeführer und seiner damaligen Ehefrau am 11. Juni 2009, als sie gemeinsam erklärten, in einer stabilen Ehe zu leben, effektiv intakt bzw. auf Dauer angelegt war. Bereits der Umstand, dass der Beschwerdeführer, dessen Asylgesuch damals erstinstanzlich abgewiesen worden war, nach relativ kurzer Bekanntschaft eine geistig behinderte Schweizerin heiratete mit der Konsequenz, dass er dadurch eine Aufenthaltsbewilligung in der Schweiz erhielt, ist jedenfalls ein Indiz dafür, dass die Legalisierung seines Aufenthaltes in der Schweiz für ihn ein wichtiger Grund zum Eingehen der Ehe war. Ein weiteres Indiz dafür, dass dies für ihn der hauptsächliche oder ausschliessliche Zweck der Ehe war, ist deren Scheitern wenige Monate nach Abgabe der gemeinsamen Erklärung, sie sei intakt und auf die Zukunft gerichtet.</w:t>
      </w:r>
    </w:p>
    <w:p>
      <w:r>
        <w:rPr>
          <w:b/>
        </w:rPr>
        <w:t>E. 3.3</w:t>
      </w:r>
    </w:p>
    <w:p>
      <w:r>
        <w:t>Der Beschwerdeführer bestreitet nicht, dass sich aus diesen Fakten der Schluss ziehen lässt, er sei die Ehe nur zum Zwecke der Erlangung des Schweizer Bürgerrechts eingegangen und habe nicht die Absicht gehabt, sie über die dafür erforderliche Frist hinaus, auf Dauer weiterzuführen. Diese Vermutung werde jedoch widerlegt durch den Umstand, dass sich seine Frau im Februar 2010 in einen anderen Mann verliebt und mit diesem eine heimliche Liebesbeziehung geführt habe. Erst dieses, rund 8 Monate nach der "gemeinsamen Erklärung" eingetretene Ereignis habe die (zuvor intakte) Ehe zum Scheitern gebracht.</w:t>
      </w:r>
    </w:p>
    <w:p>
      <w:r>
        <w:rPr>
          <w:b/>
        </w:rPr>
        <w:t>E. 3.4</w:t>
      </w:r>
    </w:p>
    <w:p>
      <w:r>
        <w:t>Der Beschwerdeführer macht nicht geltend, seine damalige Ehefrau habe einen Seitensprung begangen, der die zuvor intakte Ehe quasi "aus heiterem Himmel", ohne vorbestehende Zerrüttung, zum Scheitern gebracht habe. Eine weitere Liebesbeziehung wie hier geht man dagegen ein, wenn die bisherige Beziehung unbefriedigend - also instabil - geworden ist. Der Beschwerdeführer verwechselt daher Ursache und Wirkung, wenn er behauptet, die Fremdbeziehung seiner damaligen Ehefrau hätte die Ehe zu Scheitern gebracht. Diese ist im Gegenteil ein starkes Indiz dafür, dass sich die Eheleute bereits auseinandergelebt hatten, die Ehe des Beschwerdeführers mithin bereits längere Zeit zuvor instabil war. Dafür sprechen auch die im Wesentlichen unbestritten gebliebenen Ausführungen des Bundesverwaltungsgerichts (E. 9.2 S. 10 ff.), wonach die Ehe praktisch von Anfang an unter grossen Spannungen stand, zum Teil wegen der zufolge ihrer geistigen Behinderung geringen Belastbarkeit der Ehefrau, zum Teil wegen unterschiedlicher Auffassungen der Gatten in Bezug auf die Gestaltung des Intim-, aber auch des Alltagslebens. Diese Konflikte konnten durch eine Beraterin der Pro Infirmis 2009 zeitweise entschärft werden, wobei nach deren Aussage auch eine Trennung von beiden Ehegatten als mögliche Lösung ins Auge gefasst wurde. Der Umstand, dass die damalige Ehefrau des Beschwerdeführers eine Liebesbeziehung einging, ist damit nicht geeignet, die (begründete) Vermutung zu widerlegen, die Ehe sei bereits im Zeitpunkt der "gemeinsamen Erklärung" acht Monate zuvor, entgegen deren Inhalt, schon nicht mehr intakt und auf unbestimmte Dauer angelegt gewesen. Die Beschwerde erweist sich damit als unbegründet.</w:t>
      </w:r>
    </w:p>
    <w:p>
      <w:r>
        <w:rPr>
          <w:b/>
        </w:rPr>
        <w:t>E. 4</w:t>
      </w:r>
    </w:p>
    <w:p>
      <w:r>
        <w:t>Die Beschwerde ist daher abzuweisen, soweit darauf einzutreten ist. Bei diesem Ausgang des Verfahrens wird der Beschwerdeführer an sich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