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1C_12/2014 vom 7. März 2014</w:t>
      </w:r>
    </w:p>
    <w:p>
      <w:r>
        <w:t>Bundesgericht, 2014-03-07, DE</w:t>
      </w:r>
    </w:p>
    <w:p>
      <w:r>
        <w:rPr>
          <w:b/>
        </w:rPr>
        <w:t xml:space="preserve">Quelle: </w:t>
      </w:r>
      <w:r>
        <w:t>https://mcp.opencaselaw.ch/entscheid/bger_1C_12_2014</w:t>
      </w:r>
    </w:p>
    <w:p>
      <w:r>
        <w:t>FR: TF 1C_12/2014 du 7 mars 2014</w:t>
      </w:r>
    </w:p>
    <w:p>
      <w:r>
        <w:t>IT: TF 1C_12/2014 del 7 marzo 2014</w:t>
      </w:r>
    </w:p>
    <w:p>
      <w:pPr>
        <w:pStyle w:val="Heading2"/>
      </w:pPr>
      <w:r>
        <w:t>Erwägungen</w:t>
      </w:r>
    </w:p>
    <w:p>
      <w:r>
        <w:rPr>
          <w:b/>
        </w:rPr>
        <w:t>E. 1</w:t>
      </w:r>
    </w:p>
    <w:p>
      <w:r>
        <w:t>Gegen den angefochtenen Entscheid ist gemäss Art. 82 lit. a BGG die Beschwerde in öffentlich-rechtlichen Angelegenheiten gegeben.</w:t>
      </w:r>
    </w:p>
    <w:p>
      <w:r>
        <w:t>Ein Ausschlussgrund nach Art. 83 BGG besteht nicht.</w:t>
      </w:r>
    </w:p>
    <w:p>
      <w:r>
        <w:t>Ein kantonales Rechtsmittel steht nicht zur Verfügung. Die Beschwerde ist gemäss Art. 86 Abs. 1 lit. d i.V.m. Abs. 2 BGG zulässig.</w:t>
      </w:r>
    </w:p>
    <w:p>
      <w:r>
        <w:t>Der Beschwerdeführer ist nach Art. 89 Abs. 1 BGG zur Beschwerde befugt.</w:t>
      </w:r>
    </w:p>
    <w:p>
      <w:r>
        <w:t>Die angefochtene Verfügung stellt einen Zwischenentscheid nach Art. 93 BGG dar. Dagegen ist die Beschwerde gemäss Absatz 1 lit. a dieser Bestimmung zulässig, wenn er einen nicht wieder gutzumachenden Nachteil bewirken kann. Nach der Rechtsprechung ist ein solcher Nachteil anzunehmen, wenn - wie hier - nicht nur die unentgeltliche Rechtspflege verweigert, sondern zugleich die Anhandnahme des Rechtsmittels von der Bezahlung eines Kostenvorschusses durch die gesuchstellende Partei abhängig gemacht wird ( BGE 128 V 199 E. 2b S. 202 f. ; 126 I 207 E. 2a S. 210 ; 123 I 275 E. 2f S. 278; je mit Hinweisen).</w:t>
      </w:r>
    </w:p>
    <w:p>
      <w:r>
        <w:t>Die weiteren Sachurteilsvoraussetzungen geben zu keinen Bemerkungen Anlass. Auf die Beschwerde ist einzutreten.</w:t>
      </w:r>
    </w:p>
    <w:p>
      <w:r>
        <w:rPr>
          <w:b/>
        </w:rPr>
        <w:t>E. 2.1</w:t>
      </w:r>
    </w:p>
    <w:p>
      <w:r>
        <w:t>Der Beschwerdeführer beruft sich in der Sache auf Art. 29 Abs. 3 BV . Danach hat jede Person, die nicht über die erforderlichen Mittel verfügt, Anspruch auf unentgeltliche Rechtspflege, wenn ihr Rechtsbegehren nicht aussichtslos erscheint.</w:t>
      </w:r>
    </w:p>
    <w:p>
      <w:r>
        <w:t>Als aussichtslos sind nach der Rechtsprechung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S. 218 mit Hinweis).</w:t>
      </w:r>
    </w:p>
    <w:p>
      <w:r>
        <w:t>Bei der Beurteilung der Erfolgsaussichten verfügt das Sachgericht über einen Spielraum, in den das Bundesgericht nur mit Zurückhaltung eingreift (Urteil 4A_316/2013 vom 21. August 2013 E. 4.2 mit Hinweis).</w:t>
      </w:r>
    </w:p>
    <w:p>
      <w:r>
        <w:rPr>
          <w:b/>
        </w:rPr>
        <w:t>E. 2.2</w:t>
      </w:r>
    </w:p>
    <w:p>
      <w:r>
        <w:t>Gemäss Art. 15d SVG (SR 741.01) wird eine Person einer Fahreignungsuntersuchung unterzogen, wenn Zweifel an ihrer Fahreignung bestehen.</w:t>
      </w:r>
    </w:p>
    <w:p>
      <w:r>
        <w:t>Die Motorfahrzeugkontrolle begründet die Anordnung der verkehrsmedizinischen Untersuchung damit, die psychische Verfassung des Beschwerdeführers beim Vorfall vom 3. Oktober 2013 lasse erhebliche Zweifel an seiner Fahreignung aufkommen.</w:t>
      </w:r>
    </w:p>
    <w:p>
      <w:r>
        <w:rPr>
          <w:b/>
        </w:rPr>
        <w:t>E. 2.3</w:t>
      </w:r>
    </w:p>
    <w:p>
      <w:r>
        <w:t>Am 9. Oktober 2013 wurde der Beschwerdeführer polizeilich einvernommen. Auf die Frage, ob er den Schaden verursacht habe, sagte er aus:</w:t>
      </w:r>
    </w:p>
    <w:p>
      <w:r>
        <w:t>"Das ist korrekt. Der Schaden ist durch mich entstanden. Ich bin in psychologischer Behandlung und deswegen krank geschrieben. Ich nehme die Medikamente Efexor, Inderal, Madopar, Antabus, Valdoxan und Zalpidar. Dies sind unter anderem Antidepressiva, Betablocker, Parkinson-Mittel, Schmerzmittel. Ich war in diesem Moment total überfordert mit der Situation. Ich wusste nicht, wie ich reagieren sollte."</w:t>
      </w:r>
    </w:p>
    <w:p>
      <w:r>
        <w:t>Auf die Frage, warum er den Schaden nicht gemeldet habe, gab er zu Protokoll:</w:t>
      </w:r>
    </w:p>
    <w:p>
      <w:r>
        <w:t>"Unter normalen Umständen wäre dies gar nicht passiert. Ich wäre in einen der Läden gegangen und hätte gefragt, ob das Fahrzeug jemandem gehört. Aber ich war an diesem Tag nicht zurechnungsfähig und, wie bereits gesagt, total überfordert."</w:t>
      </w:r>
    </w:p>
    <w:p>
      <w:r>
        <w:t>Auf die Schlussfrage, ob er noch etwas beizufügen habe, sagte er:</w:t>
      </w:r>
    </w:p>
    <w:p>
      <w:r>
        <w:t>"Es ist mir bewusst, dass es meine Schuld ist. Es ist ein Fehlverhalten von mir, welches ich nicht ganz verstehe. Ich bitte Sie darum, dass Sie meine psychische Situation berücksichtigen".</w:t>
      </w:r>
    </w:p>
    <w:p>
      <w:r>
        <w:rPr>
          <w:b/>
        </w:rPr>
        <w:t>E. 2.4</w:t>
      </w:r>
    </w:p>
    <w:p>
      <w:r>
        <w:t>Nach seinen eigenen Angaben leidet der Beschwerdeführer somit an psychischen Problemen. Er ist deswegen krank geschrieben, in psychologischer Behandlung und nimmt Medikamente. Die psychischen Probleme müssen daher erheblich sein. Überdies nimmt er Antabus ein, was auf eine schwere Alkoholproblematik hinweist. Am Tag des Vorfalls war er nach seiner eigenen Einschätzung nicht zurechnungsfähig und mit der Situation völlig überfordert.</w:t>
      </w:r>
    </w:p>
    <w:p>
      <w:r>
        <w:t>Diese Gesichtspunkte sprechen für Zweifel an der Fahreignung.</w:t>
      </w:r>
    </w:p>
    <w:p>
      <w:r>
        <w:t>Der Beschwerdeführer beruft sich auf zwei ärztliche Bestätigungen (Beschwerdebeilagen). Jene vom 25. Oktober 2013 stammt von seinem Hausarzt. Dieser legt dar, die Einnahme verschiedener im Einzelnen genannter Medikamente führe beim Beschwerdeführer zu keiner Fahruntauglichkeit. Ein Alkoholmissbrauch beim Lenken eines Fahrzeugs sei dem Hausarzt unbekannt und seit Beginn der Antabus-Behandlung im August 2013 sei der Beschwerdeführer aus Sicht des Hausarztes vollständig abstinent. Die Bestätigung vom 29. Oktober 2013 stammt von der Leitenden Ärztin Neurologie des Bürgerspitals Solothurn. Diese bemerkt, der Beschwerdeführer sei trotz der Einnahme von zwei bestimmten Medikamenten fahrgeeignet.</w:t>
      </w:r>
    </w:p>
    <w:p>
      <w:r>
        <w:t>Die ärztlichen Bestätigungen beziehen sich, soweit es um medizinische Fachfragen geht, auf die Wirkung der Medikamente. Die Ärzte sagen nicht, der Beschwerdeführer leide an keinen psychischen Problemen, welche teilweise den Grund für die Einnahme der Medikamente darstellen. Auch ergibt sich aus ihren Attesten nicht, weshalb der Beschwerdeführer am Tag des Vorfalls, wie er selber angibt, nicht zurechnungsfähig und mit der Situation - die nicht gravierend war - völlig überfordert war. Der Hausarzt bestätigt sodann die Einnahme von Antabus und damit indirekt die dem zugrunde liegende Alkoholproblematik. Auf den ersten Blick dürften die ärztlichen Bestätigungen den Beschwerdeführer daher kaum wesentlich entlasten, zumal Stellungnahmen von Hausärzten und behandelnden Spezialisten wegen der zum Patienten bestehenden auftragsrechtlichen Vertrauensstellung ohnehin mit Zurückhaltung zu würdigen sind ( BGE 135 V 465 E. 4.5 S. 470 f.; 125 V 351 E. 3b/cc S. 353; Urteil 9C_942/2011 vom 6. Juli 2012 E. 5.1; je mit Hinweisen).</w:t>
      </w:r>
    </w:p>
    <w:p>
      <w:r>
        <w:t>Würdigt man dies gesamthaft, hat die Vorinstanz bei summarischer und vorläufiger Prüfung den ihr zustehenden Beurteilungsspielraum nicht überschritten, wenn sie die Gewinnaussichten als beträchtlich geringer eingestuft hat als die Verlustgefahren. Der angefochtene Entscheid hält somit vor Art. 29 Abs. 3 BV stand.</w:t>
      </w:r>
    </w:p>
    <w:p>
      <w:r>
        <w:rPr>
          <w:b/>
        </w:rPr>
        <w:t>E. 3</w:t>
      </w:r>
    </w:p>
    <w:p>
      <w:r>
        <w:t>Die Beschwerde ist abzuweisen.</w:t>
      </w:r>
    </w:p>
    <w:p>
      <w:r>
        <w:t>Mit Blick auf die finanziellen Verhältnisse des Beschwerdeführers rechtfertigt es sich, auf die Erhebung von Kosten zu verzichten ( Art. 66 Abs. 1 Satz 2 BGG ). Damit kann offen bleiben, ob man annehmen kann, er habe sinngemäss auch vor Bundesgericht um unentgeltliche Rechtspflege ersucht.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