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1C_129/2010 vom 3. Juni 2010</w:t>
      </w:r>
    </w:p>
    <w:p>
      <w:r>
        <w:t>Bundesgericht, 2010-06-03, DE</w:t>
      </w:r>
    </w:p>
    <w:p>
      <w:r>
        <w:rPr>
          <w:b/>
        </w:rPr>
        <w:t xml:space="preserve">Quelle: </w:t>
      </w:r>
      <w:r>
        <w:t>https://mcp.opencaselaw.ch/entscheid/bger_1C_129_2010</w:t>
      </w:r>
    </w:p>
    <w:p>
      <w:r>
        <w:t>FR: TF 1C_129/2010 du 3 juin 2010</w:t>
      </w:r>
    </w:p>
    <w:p>
      <w:r>
        <w:t>IT: TF 1C_129/2010 del 3 giugno 2010</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Die Beschwerdeführerin rügt, das Verwaltungsgericht habe den Sachverhalt rein schematisch anhand der Höhe der Geschwindigkeitsüberschreitung im Sinn eines "Geschwindigkeitsstrafrechts bzw. -massnahmenvollzugs" gewürdigt und die konkreten Umstände ihres Falles ausser Acht gelassen; dadurch habe es die einschlägigen Bestimmungen des SVG sowie Art. 6 EMRK verletzt. Diese Rügen sind zulässig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 von Art. 90 Ziff. 2 SVG entspricht ( BGE 132 II 234 E. 3 S. 237), wird der Führerausweis für mindestens drei Monate entzogen (Abs. 2 lit. a). Eine Unterschreitung der gesetzlichen Mindestentzugsdauern ist ausgeschlossen ( Art. 16 Abs. 3 SVG ).</w:t>
      </w:r>
    </w:p>
    <w:p>
      <w:r>
        <w:rPr>
          <w:b/>
        </w:rPr>
        <w:t>E. 2.2</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 BGE 127 II 302 nicht publ. E. 3a; 124 II 103 E. 1c/bb).</w:t>
      </w:r>
    </w:p>
    <w:p>
      <w:r>
        <w:rPr>
          <w:b/>
        </w:rPr>
        <w:t>E. 3.1</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auf einer Autobahn 35 km/h übersteigt. Diese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Einzelfalles bei der Bemessung der Entzugsdauer zu berücksichtigen (Zusammenfassung der Rechtsprechung im Entscheid 1C_83/2008 vom 16. Oktober 2008 E. 2).</w:t>
      </w:r>
    </w:p>
    <w:p>
      <w:r>
        <w:rPr>
          <w:b/>
        </w:rPr>
        <w:t>E. 3.2</w:t>
      </w:r>
    </w:p>
    <w:p>
      <w:r>
        <w:t>Die Beschwerdeführerin wurde am 17. Dezember 2008 wegen grober Verkehrsregelverletzung im Sinn von Art. 90 Ziff. 2 SVG verurteilt. Auch wenn der in Rechtskraft erwachsene Strafbefehl nur summarisch begründet ist, ergibt sich aus ihm und der vom Staatsanwalt dazu nachträglich verfassten, erläuternden Aktennotiz vom 19. Februar 2009 jedenfalls, dass der Verurteilung in tatsächlicher Hinsicht der Vorwurf zugrunde liegt, die Beschwerdeführerin habe die signalisierte Geschwindigkeitsbeschränkung übersehen. Das setzt stillschweigend voraus, dass sie diese hätte erkennen können und müssen.</w:t>
      </w:r>
    </w:p>
    <w:p>
      <w:r>
        <w:t>Indem die Beschwerdeführerin im Entzugsverfahren nunmehr vorbringt, sie hätte die entsprechende Signalisation gar nicht erkennen können, weil sie vor dem entsprechenden Verkehrsschild einen Lastwagen überholt habe, greift sie die tatsächliche Grundlage ihrer strafrechtlichen Verurteilung an. Diese ist indessen für die Entzugsbehörde nach der oben in E. 2.2 angeführten Rechtsprechung unter den gegebenen Umständen verbindlich. Der Einwand ist zudem auch in der Sache unbehelflich, da Geschwindigkeitsbegrenzungen auf Autobahnen, wie das Verwaltungsgericht im angefochtenen Entscheid unwidersprochen und zu Recht darlegt, beidseitig signalisiert sind. Das Gleiche gilt für ihren Einwand, sie sei "einige Zeit" vor der fotografisch dokumentierten Geschwindigkeitsmessung durch einen "Drängler" in Aufregung versetzt worden. Auch dieser Einwand hat im Strafbefehl keinen Niederschlag gefunden, und es ist auch nicht ersichtlich, inwiefern dieser ("einige Zeit" zurückliegende) Zwischenfall das überhöhte Tempo der Beschwerdeführerin erklären oder gar entschuldigen könnte; aus der Polizeifoto ergibt sich jedenfalls, dass sie im Zeitpunkt der Geschwindigkeitsmessung nicht bedrängt war, die Fahrbahn hinter ihr war, wie sie in der Beschwerde selber darlegt, zumindest etwa 60 m frei. Das Verwaltungsgericht hat damit keineswegs Bundesrecht verletzt, indem es die Geschwindigkeitsübertretung der Beschwerdeführerin entsprechend der strafrechtlichen Beurteilung als schweren Fall im Sinn von Art. 16c SVG einstufte.</w:t>
      </w:r>
    </w:p>
    <w:p>
      <w:r>
        <w:rPr>
          <w:b/>
        </w:rPr>
        <w:t>E. 3.3</w:t>
      </w:r>
    </w:p>
    <w:p>
      <w:r>
        <w:t>Die Beschwerdeführerin verfügt bei einer fast 40-jährigen Fahrpraxis über einen makellosen automobilistischen Leumund. Dieser Umstand spielt keine Rolle bei der Beurteilung, ob eine Verkehrsregelverletzung einen leichten, mittelschweren oder schweren Fall im Sinn der Art. 16a-c SVG darstellt. Hingegen kommt dem automobilistischen Leumund bei der Festsetzung der Administrativmassnahme ein grosses Gewicht zu. Das Verwaltungsgericht hat dies keineswegs verkannt und die Entzugsdauer auf das gesetzliche Minimum von drei Monaten festgelegt. Es hat damit seinen Ermessensspielraum zugunsten der Beschwerdeführerin voll ausgeschöpft, die Unterschreitung der gesetzlichen Minimaldauer ist unzulässig (oben E. 2.1).</w:t>
      </w:r>
    </w:p>
    <w:p>
      <w:r>
        <w:rPr>
          <w:b/>
        </w:rPr>
        <w:t>E. 4</w:t>
      </w:r>
    </w:p>
    <w:p>
      <w:r>
        <w:t>Die Beschwerde erweist sich somit als offensichtlich unbegründet.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