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1C_129/2009 vom 26. Mai 2009</w:t>
      </w:r>
    </w:p>
    <w:p>
      <w:r>
        <w:t>Bundesgericht, 2009-05-26, FR</w:t>
      </w:r>
    </w:p>
    <w:p>
      <w:r>
        <w:rPr>
          <w:b/>
        </w:rPr>
        <w:t xml:space="preserve">Quelle: </w:t>
      </w:r>
      <w:r>
        <w:t>https://mcp.opencaselaw.ch/entscheid/bger_1C_129_2009</w:t>
      </w:r>
    </w:p>
    <w:p>
      <w:r>
        <w:t>FR: TF 1C_129/2009 du 26 mai 2009</w:t>
      </w:r>
    </w:p>
    <w:p>
      <w:r>
        <w:t>IT: TF 1C_129/2009 del 26 maggio 2009</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w:t>
      </w:r>
    </w:p>
    <w:p>
      <w:r>
        <w:t>A l'appui de ses griefs, le recourant invoque l' art. 97 LTF . Il ne conteste cependant pas les faits tels qu'ils ont été établis par le Tribunal administratif, puisqu'il ne fait nullement valoir que ceux-ci seraient erronés ou inexacts. En réalité, il critique leur appréciation juridique, soulevant ainsi une question de droit que le Tribunal fédéral examine en l'espèce librement (cf. art. 106 al. 2 LTF ).</w:t>
      </w:r>
    </w:p>
    <w:p>
      <w:r>
        <w:rPr>
          <w:b/>
        </w:rPr>
        <w:t>E. 3</w:t>
      </w:r>
    </w:p>
    <w:p>
      <w:r>
        <w:t>En vertu de l'art. 27 al. 1 de la loi fédérale du 29 septembre 1952 sur l'acquisition et la perte de la nationalité suisse (LN; RS 141.0),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 La communauté conjugale ainsi définie doit non seulement exister au moment du dépôt de la demande, mais elle doit subsister pendant toute la procédure jusqu'au prononcé de la décision d'octroi de la naturalisation facilitée ( ATF 130 II 482 consid. 2 p. 484).</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cf. ATF 132 II 113 consid. 3.2 p. 115 s.), mais encore de son propre intérêt ( ATF 130 II 482 consid. 3.2 p. 485 s.).</w:t>
      </w:r>
    </w:p>
    <w:p>
      <w:r>
        <w:rPr>
          <w:b/>
        </w:rPr>
        <w:t>E. 4.1</w:t>
      </w:r>
    </w:p>
    <w:p>
      <w:r>
        <w:t>Dans le cas particulier, le Tribunal administratif fédéral a relevé que le laps de temps entre la déclaration commune (14 juin 2004), l'octroi de la naturalisation facilitée (31 août 2004), la requête commune de divorce (26 septembre 2005) et les démarches entreprises par le recourant en vue d'épouser une ressortissante du Kosovo (18 octobre 2006) tendait à confirmer que le couple n'envisageait déjà plus une vie future partagée lors de la signature de la déclaration de vie commune. Cette conviction était renforcée par plusieurs autres éléments. Le recourant a épousé B.________ le 26 mai 2000, alors qu'il faisait l'objet d'une procédure de refus d'asile et de renvoi de Suisse et que ses conditions de séjour paraissaient précaires. Il a épousé une femme de vingt-deux ans son aînée, situation inhabituelle dans son milieu socioculturel, et, moins d'une année après son divorce, il a entrepris des démarches en vue de contracter un mariage avec une compatriote trente-trois ans plus jeune que sa première épouse. A cela s'ajoute que les déclarations des ex-époux lors des différentes auditions présentaient des divergences qui permettaient de douter que le recourant ait réellement voulu constituer une véritable communauté conjugale.</w:t>
      </w:r>
    </w:p>
    <w:p>
      <w:r>
        <w:t>Le recourant ne conteste aucun de ces éléments, lesquels sont propres à fonder la présomption que sa naturalisation a été obtenue frauduleusement. Il se contente d'affirmer que "ce mariage est intervenu par amour et non afin de faciliter [sa] venue en Suisse" et que, si tel avait été le cas, il n'aurait pas attendu deux ans après avoir fait la connaissance de B.________ pour l'épouser. Cet allégué ne permet toutefois pas d'affaiblir ladite présomption.</w:t>
      </w:r>
    </w:p>
    <w:p>
      <w:r>
        <w:rPr>
          <w:b/>
        </w:rPr>
        <w:t>E. 4.2</w:t>
      </w:r>
    </w:p>
    <w:p>
      <w:r>
        <w:t>Selon la jurisprudence précitée, il incombait dès lors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t>Pour expliquer les motifs de son divorce, le recourant produit une déclaration écrite de son ex-épouse, datée du 20 février 2009, où celle-ci indique qu'elle a pris l'initiative d'entamer la procédure de divorce après avoir subi "les pressions de certaines personnes de [son] entourage et les rumeurs qu'[elle] entendait au sujet de [son] mariage avec un étranger"; la situation se serait petit à petit dégradée, par sa faute, car elle était très tendue. Cette version des faits, présentée pour la première fois, est en contradiction avec celle exposée jusqu'ici devant les instances précédentes, à savoir que les problèmes conjugaux étaient dus à une incompatibilité d'humeur. Le recourant allègue que son ex-épouse n'a jamais abordé ce problème avec lui, de peur de le blesser ou le fâcher, mais qu'elle était "contrainte" aujourd'hui d'en faire part au Tribunal. Ceci est suprenant dans la mesure où, dans la déclaration précitée, B.________ précise que, lorsqu'elle a annoncé au recourant son intention de divorcer, elle lui en a expliqué les raisons; blessé dans son amour-propre et persuadé qu'il arriverait à la convaincre, celui-ci ne voulait pas divorcer. On peut difficilement se fier aux affirmations divergentes et peu cohérentes du recourant et de son ex-épouse, ce d'autant que cette nouvelle explication sur les motifs du divorce intervient bien après l'annulation de la naturalisation facilitée et une fois le recours contre cette décision rejeté par le Tribunal administratif fédéral; tout porte à croire que la déclaration de B.________ a été rédigée pour les besoins de la cause. Au demeurant, les propos de cette dernière sont peu convaincants: elle soutient avoir cédé à la pression de son entourage - quelques mois à peine après la naturalisation de son ex-époux - tout en soulignant que celui-ci "est une personne honnête qu'[elle] respecte et avec qui, après sept ans de vie commune, [elle a] toujours d'excellentes relations."</w:t>
      </w:r>
    </w:p>
    <w:p>
      <w:r>
        <w:t>Dans ces circonstances, il apparaît que le recourant n'a pas réussi à rendre vraisemblable la survenance d'un événement extraordinaire susceptible d'expliquer une dégradation aussi rapide du lien conjugal et que les éléments avancés ne permettent pas de renverser la présomption établie. En particulier, sa bonne intégration n'est pas pertinente pour déterminer si la naturalisation a été obtenue de façon frauduleuse ou non. Il en découle que les conditions d'application de l' art. 41 LN sont remplies et que le Tribunal administratif fédéral n'a pas abusé de son pouvoir d'appréciation en confirmant l'annulation de la naturalisation facilité octroyée au recourant.</w:t>
      </w:r>
    </w:p>
    <w:p>
      <w:r>
        <w:rPr>
          <w:b/>
        </w:rPr>
        <w:t>E. 5</w:t>
      </w:r>
    </w:p>
    <w:p>
      <w:r>
        <w:t>Il résulte de ce qui précède que le recours doit être rejeté.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