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1C_128/2012 vom 18. Oktober 2012</w:t>
      </w:r>
    </w:p>
    <w:p>
      <w:r>
        <w:t>Bundesgericht, 2012-10-18, DE</w:t>
      </w:r>
    </w:p>
    <w:p>
      <w:r>
        <w:rPr>
          <w:b/>
        </w:rPr>
        <w:t xml:space="preserve">Quelle: </w:t>
      </w:r>
      <w:r>
        <w:t>https://mcp.opencaselaw.ch/entscheid/bger_1C_128_2012</w:t>
      </w:r>
    </w:p>
    <w:p>
      <w:r>
        <w:t>FR: TF 1C_128/2012 du 18 octobre 2012</w:t>
      </w:r>
    </w:p>
    <w:p>
      <w:r>
        <w:t>IT: TF 1C_128/2012 del 18 ottobre 2012</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angefochtene Entscheid schliesst das Verfahren allerdings nicht ab, sondern weist die Sache für weitere Abklärungen und zu neuem Entscheid an die Beschwerdeführerin zurück. Es handelt sich um einen Zwischenentscheid, der nur unter den Voraussetzungen der Art. 92 und 93 BGG selbstständig anfechtbar ist, namentlich wenn er einen nicht wieder gutzumachenden Nachteil bewirken kann ( Art. 93 Abs. 1 lit. a BGG ). Dies ist nach der Rechtsprechung ( BGE 134 II 124 E. 1.3 S. 128; 133 V 477 E. 4.2. und 5.2.4; Urteil 2C_239/2011 vom 21. Februar 2012 E. 1.2) der Fall, wenn die Beschwerde führende Behörde wie hier infolge des Rückweisungsentscheids gezwungen wäre, entgegen ihrer Rechtsauffassung neu zu verfügen. Das kantonale Strassenverkehrsamt ist zur Beschwerde befugt, sofern es ein aktuelles Rechtsschutzinteresse an der Aufhebung des angefochtenen Entscheids hat (Art. 89 Abs. 1 und Abs. 2 lit. d BGG i.V.m. Art. 24 Abs. 2 lit. a SVG ).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137 I 23 E. 1.3.1; 136 II 101 E. 1.1 135 I 79 E. 1.1).</w:t>
      </w:r>
    </w:p>
    <w:p>
      <w:r>
        <w:t>Das vorliegende, den gegen den Beschwerdegegner verhängten Sicherungsentzug betreffende Verfahren ist gegenstandslos geworden, nachdem die Beschwerdeführerin dem Beschwerdegegner den Führerausweis am 13. April 2012 unter Auflagen wieder erteilte. Damit ist auch das aktuelle Rechtsschutzinteresse der Beschwerdeführerin an der Aufhebung des angefochtenen Entscheids weggefallen. Die Voraussetzungen für ein ausnahmsweises Absehen vom Erfordernis des aktuellen Rechtsschutzinteresses sind klarerweise nicht erfüllt, kann sich doch die strittige Frage, ob und unter welchen Umständen rechtswidrig erlangte Beweismittel im Administrativverfahren verwertet werden dürfen, grundsätzlich in jedem Verfahren stellen, und es ist nicht ersichtlich, aus welchem Grund ihre rechtzeitige Überprüfung im Einzelfall kaum je möglich sein sollte.</w:t>
      </w:r>
    </w:p>
    <w:p>
      <w:r>
        <w:rPr>
          <w:b/>
        </w:rPr>
        <w:t>E. 2</w:t>
      </w:r>
    </w:p>
    <w:p>
      <w:r>
        <w:t>Das Verfahren ist gegenstandslos geworden und dementsprechend nach Art. 32 Abs. 2 BGG vom Instruktionsrichter abzuschreiben. Die Kosten- und Entschädigungsfolgen beurteilen sich nach der Sachlage vor Eintritt des Erledigungsgrundes ( Art. 72 BZP i.V.m. Art. 71 BGG ), wobei es nach ständiger Praxis nicht darum gehen kann, bei der Beurteilung der Kosten- und Entschädigungsfolgen über die materielle Begründetheit der Beschwerde abschliessend zu befinden ( BGE 118 Ia 488 E. 4 S. 494, Urteil 5A_432/2010 vom 26. Juli 2010, E. 4.1). Vorliegend müsste für die Stellung einer Prognose über den mutmasslichen Verfahrensausgang die (einzig) strittige Rechtsfrage der Verwertbarkeit rechtswidrig beschaffter Beweismittel im Verwaltungsverfahren abschliessend beurteilt werden, was nicht angehen kann. Es rechtfertigt sich unter diesen Umständen, keine Kosten zu erheben und dem Beschwerdegegner aus der Bundesgerichtskasse eine Parteientschädigung zuzusprechen.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