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1C_127/2014 vom 18. März 2014</w:t>
      </w:r>
    </w:p>
    <w:p>
      <w:r>
        <w:t>Bundesgericht, 2014-03-18, DE</w:t>
      </w:r>
    </w:p>
    <w:p>
      <w:r>
        <w:rPr>
          <w:b/>
        </w:rPr>
        <w:t xml:space="preserve">Quelle: </w:t>
      </w:r>
      <w:r>
        <w:t>https://mcp.opencaselaw.ch/entscheid/bger_1C_127_2014</w:t>
      </w:r>
    </w:p>
    <w:p>
      <w:r>
        <w:t>FR: TF 1C_127/2014 du 18 mars 2014</w:t>
      </w:r>
    </w:p>
    <w:p>
      <w:r>
        <w:t>IT: TF 1C_127/2014 del 18 marzo 2014</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nach Art. 84 Abs. 1 BGG insoweit möglich ist. Entgegen der Auffassung des Beschwerdeführers handelt es sich jedoch um keinen besonders bedeutenden Fall.</w:t>
      </w:r>
    </w:p>
    <w:p>
      <w:r>
        <w:t>Die Vorinstanz hat zu seinen Einwänden Stellung genommen. Ihre Erwägungen, auf welche verwiesen werden kann ( Art. 109 Abs. 3 BGG ), lassen keine Bundesrechtsverletzung erkennen. Das gilt insbesondere, soweit die Vorinstanz eine Verletzung des Anspruchs des Beschwerdeführers auf rechtliches Gehör verneint hat (angefochtener Entscheid E. 4.3 i.V.m. E. 2.4.3). Rechtsfragen von grundsätzlicher Bedeutung stellen sich nicht. Auch sonst wie kommt der Angelegenheit keine aussergewöhnliche Tragweite zu. Für das Bundesgericht besteht deshalb kein Anlass, die Sache an die Hand zu nehmen.</w:t>
      </w:r>
    </w:p>
    <w:p>
      <w:r>
        <w:t>Die Beschwerde ist danach unzulässig.</w:t>
      </w:r>
    </w:p>
    <w:p>
      <w:r>
        <w:t>Die Einräumung einer Nachfrist zur Ergänzung der Beschwerdebegründung fällt damit ausser Betracht ( Art. 43 lit. a BGG ).</w:t>
      </w:r>
    </w:p>
    <w:p>
      <w:r>
        <w:rPr>
          <w:b/>
        </w:rPr>
        <w:t>E. 2</w:t>
      </w:r>
    </w:p>
    <w:p>
      <w:r>
        <w:t>Da die Beschwerde aussichtslos war, kann die unentgeltliche Rechtspflege und Verbeiständung nach Art. 64 BGG nicht bewilligt werden. Mit Blick auf die finanziellen Verhältnisse des Beschwerdeführers rechtfertigt es sich jedoch, auf die Erhebung von Kosten zu verzichten ( Art. 66 Abs. 1 Satz 2 BGG ).</w:t>
      </w:r>
    </w:p>
    <w:p>
      <w:r>
        <w:t>Mit dem vorliegenden Entscheid braucht über das Gesuch um aufschiebende Wirkung nicht mehr befunden zu werden. Dieses war im Übrigen entbehrlich, da der Beschwerde von Gesetzes wegen aufschiebende Wirkung zukam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