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126/2025 vom 7. März 2025</w:t>
      </w:r>
    </w:p>
    <w:p>
      <w:r>
        <w:t>Bundesgericht, 2025-03-07, DE</w:t>
      </w:r>
    </w:p>
    <w:p>
      <w:r>
        <w:rPr>
          <w:b/>
        </w:rPr>
        <w:t xml:space="preserve">Quelle: </w:t>
      </w:r>
      <w:r>
        <w:t>https://mcp.opencaselaw.ch/entscheid/bger_1C_126_2025</w:t>
      </w:r>
    </w:p>
    <w:p>
      <w:r>
        <w:t>FR: TF 1C 126/2025 du 7 mars 2025</w:t>
      </w:r>
    </w:p>
    <w:p>
      <w:r>
        <w:t>IT: TF 1C 126/2025 del 7 marzo 2025</w:t>
      </w:r>
    </w:p>
    <w:p>
      <w:pPr>
        <w:pStyle w:val="Heading2"/>
      </w:pPr>
      <w:r>
        <w:t>Regeste</w:t>
      </w:r>
    </w:p>
    <w:p>
      <w:r>
        <w:t>Auslieferung nach Frankreich | Rechtshilfe und Auslieferung</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 Ein besonders bedeutender Fall liegt insbesondere vor, wenn Gründe für die Annahme bestehen, dass elementare Verfahrensgrundsätze verletzt worden sind oder das Verfahren im Ausland schwere Mängel aufweist ( Art. 84 Abs. 2 BGG ; BGE 145 IV 99 E. 1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mit Hinweisen).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Gemäss Art. 42 Abs. 2 BGG ist in der Begründung der Rechtsschrift in gedrängter Form darzulegen, inwiefern der angefochtene Akt Recht verletzt. Ist eine Beschwerde nur unter der Voraussetzung zulässig, dass ein besonders bedeutender Fall nach Art. 84 BGG vorliegt, so ist auch auszuführen, warum diese Voraussetzung erfüllt ist ( BGE 145 IV 99 E. 1.5 mit Hinweisen). 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Entgegen der Auffassung des Beschwerdeführers rechtfertigt das grosse mediale Echo, das der Fall hervorgerufen hat, nicht, auf die Beschwerde einzutreten. Auch ist nicht anzunehmen, dass sich das Rechtshilfeverfahren erheblich auf die internationalen Beziehungen der Schweiz auswirkt (vgl. Urteil 1C_286/2017 vom 28. Juni 2017 E. 1.2 und BGE 142 IV 250 E. 1.3; je mit Hinweisen). Weiter macht der Beschwerdeführer geltend, die französischen Behörden hätten mit einer Cyber-Waffe auf sein in der Schweiz befindliches EncroChat-Gerät zugegriffen, was möglicherweise die Tatbestände von Art. 271 und 273 StGB erfülle, er bringt dafür jedoch keine konkreten Anhaltspunkte vor (vgl. Urteil 1C_184/2024 vom 5. April 2024 E. 5.2 f. mit Hinweisen). Es bleibt damit beim Grundsatz, dass es Aufgabe des Sachgerichts ist, die Verwertbarkeit von Beweisen zu beurteilen (a.a.O., E. 5.1 mit Hinweisen). Dasselbe gilt für das Vorbringen, die "Unmöglichkeit des Nachvollzugs der Beweiskette" stehe fest. Ebenfalls vor dem Sachgericht wird der Beschwerdeführer die Rüge vortragen können, der französische Haftbefehl sei in Verletzung des französischen Rechts erlassen worden (vgl. dazu E. 4 des mitangefochtenen vorinstanzlichen Haftentscheids). Ein besonders bedeutender Fall liegt nach Auffassung des Beschwerdeführers zudem deshalb vor, weil durch eine Auslieferung sein Anspruch auf Achtung des Privat- und Familienlebens ( Art. 13 Abs. 1 BV , Art. 8 EMRK und Art. 17 UNO-Pakt II [SR 0.103.2]) verletzt würde. Das Bundesstrafgericht wies diesbezüglich zu Recht auf die Praxis des Bundesgerichts und des Europäischen Gerichtshofs für Menschenrechte hin, wonach Eingriffe in das Familienleben, die auf rechtmässige Strafverfolgungsmassnahmen zurückzuführen sind, grundsätzlich zulässig sind. Der blosse Umstand, dass Gefangene weit von ihren nächsten Angehörigen entfernt in Haft gehalten werden, sodass Besuche erschwert werden, bedeutet noch keinen unzulässigen Eingriff in das Privat- und Familienleben. Nur ganz ausnahmsweise kommt in Frage, zum Schutz des Familienlebens ein Auslieferungsersuchen abzulehnen (s. im Einzelnen Urteil 1C_398/2024 vom 15. August 2024 E. 5.1 f.). Derartige aussergewöhnliche Verhältnisse liegen hier klar nicht vor. Auf die vorinstanzlichen Erwägungen kann verwiesen werden. Dies gilt auch hinsichtlich der vom Beschwerdeführer und seiner Ehefrau in Aussicht genommenen reproduktionsmedizinischen Massnahmen, die gemäss den Ausführungen des Bundesstrafgerichts in französischen Haftanstalten zumindest nicht von vornherein ausgeschlossen sind (E. 10 des vorinstanzlichen Auslieferungsentscheids). Der Beschwerdeführer kritisiert die Zustände im französischen Haftvollzug. Frankreich ist ein EMRK-Vertragsstaat und gehört zu den Ländern, an welche die Schweiz Personen praxisgemäss ohne diplomatische Zusicherungen ausliefert (vgl. BGE 149 IV 376 E. 3.4 und die Hinweise in E. 9.3.1 des angefochtenen Auslieferungsentscheids). Das Bundesstrafgericht ist zu Recht davon ausgegangen, dass kein Anlass besteht, von dieser Praxis abzuweichen. Nach den vorinstanzlichen Feststellungen (a.a.O., E. 9.3.2 ff.) sind die französischen Untersuchungsgefängnisse zwar überbelegt, doch hat Frankreich zum einen konkrete Massnahmen ergriffen, um die Situation zu verbessern, zum andern hat die Überbelegung nicht ein Ausmass angenommen, das im Fall einer Auslieferung eine schwere Verletzung der Menschenrechte befürchten liesse (vgl. BGE 149 IV 376 E. 3.4; Urteil 1C_176/2014 vom 12. Mai 2014 E. 3.1.3 und 4.3 ff., in: SJ 2014 I S. 341; je mit Hinweisen). Hinsichtlich der Behauptung, die Strafverfolgung sei politisch motiviert, kann ebenfalls auf die zutreffenden Erwägungen im angefochtenen Auslieferungsentscheid verwiesen werden (a.a.O., E. 8.3.2). Dasselbe gilt für die angebliche Vereitelung des Alibibeweises (a.a.O., E. 11) und die Voraussetzung der beidseitigen Strafbarkeit (a.a.O., E. 7). Dass bei Ersuchen gestützt auf das Europäische Auslieferungsübereinkommen vom 13. Dezember 1957 (EAUe; SR 0.353.1) lediglich eine Prima-facie-Prüfung der Strafbarkeit nach schweizerischem Recht vorzunehmen ist, entspricht der ständigen bundesgerichtlichen Rechtsprechung (vgl. BGE 146 IV 338 E. 4.3 mit Hinweis). Für das Bundesgericht besteht damit kein Anlass, die Sache an die Hand zu nehmen.</w:t>
      </w:r>
    </w:p>
    <w:p>
      <w:r>
        <w:rPr>
          <w:b/>
        </w:rPr>
        <w:t>E. 2</w:t>
      </w:r>
    </w:p>
    <w:p>
      <w:r>
        <w:t>Somit ist auf die Beschwerde nicht einzutreten. Bei diesem Ausgang des Verfahrens wird der Beschwerdeführer kostenpflichtig und hat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