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120/2016 vom 8. Juli 2016</w:t>
      </w:r>
    </w:p>
    <w:p>
      <w:r>
        <w:t>Bundesgericht, 2016-07-08, DE</w:t>
      </w:r>
    </w:p>
    <w:p>
      <w:r>
        <w:rPr>
          <w:b/>
        </w:rPr>
        <w:t xml:space="preserve">Quelle: </w:t>
      </w:r>
      <w:r>
        <w:t>https://mcp.opencaselaw.ch/entscheid/bger_1C_120_2016</w:t>
      </w:r>
    </w:p>
    <w:p>
      <w:r>
        <w:t>FR: TF 1C 120/2016 du 8 juillet 2016</w:t>
      </w:r>
    </w:p>
    <w:p>
      <w:r>
        <w:t>IT: TF 1C 120/2016 del 8 luglio 2016</w:t>
      </w:r>
    </w:p>
    <w:p>
      <w:pPr>
        <w:pStyle w:val="Heading2"/>
      </w:pPr>
      <w:r>
        <w:t>Regeste</w:t>
      </w:r>
    </w:p>
    <w:p>
      <w:r>
        <w:t>Führerausweisentzug | Strassenbau und Strassenverkehr</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BGG offen; ein Ausnahmegrund liegt nicht vor ( Art. 83 BGG ). Der Beschwerdeführer ist als Inhaber des entzogenen Führerausweises und direkter Adressat des angefochtenen Entscheids gemäss Art. 89 Abs. 1 BGG zur Beschwerde legitimiert. Die übrigen Sachurteilsvoraussetzungen sind erfüllt, weshalb auf die Beschwerde grundsätzlich einzutreten ist.</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 ; 136 I 229 E. 4.1 S. 235). Das Bundesgericht prüft nur klar und detailliert erhobene und, soweit möglich, belegte Rügen.</w:t>
      </w:r>
    </w:p>
    <w:p>
      <w:r>
        <w:rPr>
          <w:b/>
        </w:rPr>
        <w:t>E. 2</w:t>
      </w:r>
    </w:p>
    <w:p>
      <w:r>
        <w:t>Im vorliegenden Fall sind die Tatsachen weitgehend unbestritten. Sowohl die Vorinstanz als auch der Beschwerdeführer stützen sich auf den Polizeirapport vom 2. August 2015 ab (vgl. Sachverhalt lit. A. hiervor). Es besteht auch keine Differenz zwischen den Sachverhaltsfeststellungen im Strafbefehl und denjenigen der Vorinstanzen, sodass die entsprechenden Rechtsgrundsätze zur Bindung der Verwaltungsbehörden an die Feststellungen der Strafverfolgungsbehörden (vgl. BGE 124 II 103 E. 1c S. 106 f.; Urteil 1C_441/2012 vom 4. März 2013 E. 3) von vornherein nicht verletzt worden sein können (siehe auch Urteil 1C_183/2013 vom 21. Juni 2013 E. 2.2). Der Beschwerdeführer bestreitet das Vorliegen einer erhöhten abstrakten Gefährdung und eines zumindest mittelschweren Verschuldens. Dabei handelt es sich um Rechtsfragen (vgl. E. 3 hiernach). Eine willkürliche Sachverhaltsfeststellung oder eine willkürliche Beweiswürdigung wird vom Beschwerdeführer hingegen nicht substanziiert gerügt. In diesem Punkt ist auf die Beschwerde nicht einzutreten.</w:t>
      </w:r>
    </w:p>
    <w:p>
      <w:r>
        <w:rPr>
          <w:b/>
        </w:rPr>
        <w:t>E. 3.1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Urteile 1C_656/2015 vom 8. April 2016 E. 2.1 f.; 1C_183/2013 vom 21. Juni 2013 E. 3.2). Gleiches gilt bei einer mittelgrossen Gefährdung und einem mittelschweren oder schweren Verschulden (vgl. Bernhard Rütsche / Denise Weber, Basler Kommentar SVG, 2014, Art. 16b N. 13).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1C_183/2013 vom 21. Juni 2013 E. 3.4 mit Hinweis).</w:t>
      </w:r>
    </w:p>
    <w:p>
      <w:r>
        <w:rPr>
          <w:b/>
        </w:rPr>
        <w:t>E. 3.2</w:t>
      </w:r>
    </w:p>
    <w:p>
      <w:r>
        <w:t>Der Fahrzeugführer muss gemäss Art. 27 Abs. 1 Satz 1 SVG Signale und Markierungen befolgen. Der objektive und subjektive Schweregrad einer Verletzung von Art. 27 Abs. 1 SVG hängt von den Umständen des Einzelfalls ab. Je bedeutsamer ein Signal für die Verkehrssicherheit ist, umso schwerer wiegt objektiv der Rechtsbruch. Je schwerer die Verkehrsverletzung objektiv wirkt, desto eher wird Rücksichtslosigkeit bzw. ein schweres Verschulden zu bejahen sein, sofern keine besonderen Gegenindizien vorliegen (vgl. Philippe Weissenberger, Kommentar SVG, 2. Aufl. 2015, Art. 27 N. 19). Überholverbote (vgl. Ziff. 2.44 des Anhangs 2 zur SSV) untersagen den Führern von Motorfahrzeugen, mehrspurige fahrende Motorfahrzeuge und Strassenbahnen zu überholen ( Art. 26 SSV ). Sperrflächen (weiss schraffiert und umrandet; vgl. Ziff. 6.20 des Anhangs 2 zur SSV) dienen der optischen Führung und Kanalisierung des Verkehrs und dürfen von Fahrzeugen nicht befahren werden ( Art. 78 SSV ). Die Einhaltung dieser Vorschriften ist von grundlegender Bedeutung für die Verkehrssicherheit, kann doch gerade die Missachtung von Überholverboten zu folgenschweren Kollisionen mit entgegenkommenden Fahrzeugen führen.</w:t>
      </w:r>
    </w:p>
    <w:p>
      <w:r>
        <w:rPr>
          <w:b/>
        </w:rPr>
        <w:t>E. 3.3</w:t>
      </w:r>
    </w:p>
    <w:p>
      <w:r>
        <w:t>Entgegen der Auffassung des Beschwerdeführers hat er im konkreten Fall durch die Missachtung des Überholverbots und das Überfahren der Sperrfläche im Bereich einer Abzweigung eine massgebliche erhöhte abstrakte Gefährdung anderer Verkehrsteilnehmer hervorgerufen bzw. in Kauf genommen. Auch wenn nach dem Polizeirapport keine konkrete Gefährdung anderer Verkehrsteilnehmer angenommen wurde, das Verkehrsaufkommen gering war und sich auf der Fahrbahn in Fahrtrichtung des Beschwerdeführers ausser dem Motorradfahrer keine weiteren Fahrzeuge befanden, so lag doch insbesondere die Möglichkeit einer konkreten Gefährdung entgegenkommender Verkehrsteilnehmer durch das zu beurteilende Überholmanöver des Beschwerdeführers nahe (vgl. in diesem Zusammenhang auch Urteile 1C_656/2015 vom 8. April 2016 E. 2.6 und 1C_452/2011 vom 21. August 2011 E. 3.6). Zudem hätten - wie die Vorinstanz zutreffend ausgeführt hat - andere Verkehrsteilnehmer durch das Verhalten des Beschwerdeführers überrascht und zu unkontrollierten Lenkkorrekturen verleitet werden können. Daran ändert nichts, dass sich der Beschwerdeführer an die zulässige Höchstgeschwindigkeit gehalten hat.</w:t>
      </w:r>
    </w:p>
    <w:p>
      <w:r>
        <w:rPr>
          <w:b/>
        </w:rPr>
        <w:t>E. 3.4</w:t>
      </w:r>
    </w:p>
    <w:p>
      <w:r>
        <w:t>Des Weiteren hat die Vorinstanz zu Recht auf nicht leichtes Verschulden des Beschwerdeführers geschlossen. Ein leichtes Verschulden liegt vor, wenn sich ein Fahrzeugführer im Verkehr grundsätzlich richtig verhält und ihm nur eine leichte Unaufmerksamkeit vorgeworfen werden kann oder die Verkehrsregelverletzung auf das Zusammenspiel unglücklicher Umstände zurückzuführen ist (Rütsche / Weber, a.a.O., Art. 16a N. 8). Ein (mindestens) mittelschweres Verschulden ist grundsätzlich anzunehmen, wenn dem Fahrzeugführer mehr als nur eine leichte Unaufmerksamkeit vorgeworfen werden kann bzw. eine elementare Verkehrsregel verletzt wurde und für den durchschnittlichen Lenker erkennbar sein musste, dass dadurch Dritte hätten gefährdet werden können (vgl. Rütsche / Weber, a.a.O., Art. 16b N. 12). Der Beschwerdeführer hat die Sperrfläche vorsätzlich überfahren, weil er gemäss eigenen Angaben so schnell wie möglich nach Hause wollte (vgl. Polizeirapport vom 2. August 2015). Der Beschwerdeführer hat zwei grundlegende Verkehrsregeln verletzt, und es kann nicht voneiner blossen leichten Unaufmerksamkeit gesprochen werden.</w:t>
      </w:r>
    </w:p>
    <w:p>
      <w:r>
        <w:rPr>
          <w:b/>
        </w:rPr>
        <w:t>E. 3.5</w:t>
      </w:r>
    </w:p>
    <w:p>
      <w:r>
        <w:t>Soweit der Beschwerdeführer in diesem Zusammenhang vorbringt, die Staatsanwaltschaft habe ihn mit Strafbefehl vom 8. September 2015 lediglich mit Fr. 300.-- gebüsst, was für ein geringes Verschulden spreche, vermag er nicht durchzudringen. 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 BGE 136 II 447 E. 3.1 S. 451 mit Hinweisen). Dies ist hier nicht der Fall, hat sich die Staatsanwaltschaft doch in erster Linie auf den Polizeirapport vom 2. August 2015 abgestützt. Die Verwaltungsbehörde war bei ihrer rechtlichen Würdigung des Sachverhalts somit nicht an den Strafbefehl gebunden (vgl. auch Urteil 1C_656/2015 vom 8. April 2016 E. 2.5).</w:t>
      </w:r>
    </w:p>
    <w:p>
      <w:r>
        <w:rPr>
          <w:b/>
        </w:rPr>
        <w:t>E. 4</w:t>
      </w:r>
    </w:p>
    <w:p>
      <w:r>
        <w:t>Die Beschwerde erweist sich als unbegründet und ist abzuweisen, soweit darauf einzutreten ist. Bei diesem Verfahrensausgang wird der unterliegende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