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1C_11/2008 vom 25. September 2008</w:t>
      </w:r>
    </w:p>
    <w:p>
      <w:r>
        <w:t>Bundesgericht, 2008-09-25, DE</w:t>
      </w:r>
    </w:p>
    <w:p>
      <w:r>
        <w:rPr>
          <w:b/>
        </w:rPr>
        <w:t xml:space="preserve">Quelle: </w:t>
      </w:r>
      <w:r>
        <w:t>https://mcp.opencaselaw.ch/entscheid/bger_1C_11_2008</w:t>
      </w:r>
    </w:p>
    <w:p>
      <w:r>
        <w:t>FR: TF 1C_11/2008 du 25 septembre 2008</w:t>
      </w:r>
    </w:p>
    <w:p>
      <w:r>
        <w:t>IT: TF 1C_11/2008 del 25 settembre 2008</w:t>
      </w:r>
    </w:p>
    <w:p>
      <w:pPr>
        <w:pStyle w:val="Heading2"/>
      </w:pPr>
      <w:r>
        <w:t>Erwägungen</w:t>
      </w:r>
    </w:p>
    <w:p>
      <w:r>
        <w:rPr>
          <w:b/>
        </w:rPr>
        <w:t>E. 1.1</w:t>
      </w:r>
    </w:p>
    <w:p>
      <w:r>
        <w:t>Gegen den kantonal letztinstanzlichen Entscheid steht grundsätzlich die Beschwerde in öffentlich-rechtlichen Angelegenheiten offen ( Art. 82 ff. BGG ). Dieses Rechtsmittel steht auch auf dem Gebiet des Raumplanungs- und Baurechts zur Verfügung; das Bundesgerichtsgesetz enthält dazu keinen Ausschlussgrund (vgl. BGE 133 II 249 E. 1.2 S. 251; 409 E. 1.1 S. 411).</w:t>
      </w:r>
    </w:p>
    <w:p>
      <w:r>
        <w:rPr>
          <w:b/>
        </w:rPr>
        <w:t>E. 1.2</w:t>
      </w:r>
    </w:p>
    <w:p>
      <w:r>
        <w:t>Der angefochtene Entscheid stützt sich in der Sache auf kantonales bzw. kommunales Planungs- und Baurecht. Da dessen Verletzung keinen Beschwerdegrund nach Art. 95 BGG darstellt, kann der Entscheid nur darauf überprüft werden, ob er auf willkürlicher Gesetzesanwendung beruht oder sonstwie gegen übergeordnetes Recht verstösst (vgl. BGE 133 II 249 E. 1.2.1 S. 251 f.).</w:t>
      </w:r>
    </w:p>
    <w:p>
      <w:r>
        <w:t>Die Beschwerdeführerinnen machen geltend, der angefochtene Entscheid verletzte in verschiedener Hinsicht das Willkürverbot ( Art. 9 BV ) und die Gemeindeautonomie ( Art. 50 BV ). Sie bringen somit zulässige Beschwerdegründe vor. Da auch die übrigen Sachurteilsvoraussetzungen erfüllt sind, ist auf die Beschwerde vorbehältlich genügend begründeter Rügen (Art. 106 Abs. 2 i.V.m. Art. 42 Abs. 2 BGG ) einzutreten.</w:t>
      </w:r>
    </w:p>
    <w:p>
      <w:r>
        <w:rPr>
          <w:b/>
        </w:rPr>
        <w:t>E. 2</w:t>
      </w:r>
    </w:p>
    <w:p>
      <w:r>
        <w:t>Die Beschwerdeführerinnen rügen, die Vorinstanz habe der Bau- und Planungskommission Hilterfingen die Zuständigkeit zur ästhetischen Beurteilung des strittigen Bauvorhabens in willkürlicher Anwendung des kantonalen und kommunalen Rechts abgesprochen.</w:t>
      </w:r>
    </w:p>
    <w:p>
      <w:r>
        <w:rPr>
          <w:b/>
        </w:rPr>
        <w:t>E. 2.1</w:t>
      </w:r>
    </w:p>
    <w:p>
      <w:r>
        <w:t>Das Verwaltungsgericht führt aus, Art. 22 Abs. 1 des Dekrets vom 22. März 1994 über das Baubewilligungsverfahren (Baubewilligungsdekret, BewD) sehe vor, dass die Baubewilligungsbehörde die kantonale Fachstelle konsultieren müsse, wenn gegen ein Vorhaben unter anderem Bedenken oder Einwände wegen Beeinträchtigung des Ortsbilds oder der Landschaft bestünden. Die Konsultation örtlicher Fachstellen könne nach Art. 22 Abs. 2 BewD erfolgen, wenn diese leistungsfähig seien. Die Anforderungen an die Leistungsfähigkeit seien dabei hoch anzusetzen und würden vorab von städtischen (gemeindeeigenen) oder regionalen Fachstellen erfüllt, die mit mehreren ausgewiesenen Fachleuten besetzt seien und regelmässig Fragen der Bauästhetik begutachteten. Bau- und Planungskommissionen kleinerer Gemeinden genügten diesen Anforderungen hingegen nicht. Es sei daher nicht zu beanstanden, dass die BVE bei ihrem Entscheid auf die Ästhetikbeurteilung der OLK abgestellt habe und nicht auf diejenige der Bau- und Planungskommission der Einwohnergemeinde Hilterfingen.</w:t>
      </w:r>
    </w:p>
    <w:p>
      <w:r>
        <w:rPr>
          <w:b/>
        </w:rPr>
        <w:t>E. 2.2</w:t>
      </w:r>
    </w:p>
    <w:p>
      <w:r>
        <w:t>Die Beschwerdeführerinnen bringen dagegen im Wesentlichen vor, die Kompetenz der Bau- und Planungskommission Hilterfingen, das strittige Bauvorhaben auf seine Einordnung zu überprüfen, stütze sich auf Art. 65 Abs. 1 des kantonalen Baugesetzes vom 9. Juni 1985 (BauG/BE) ab, der in Art. 66 lit. b des Baureglements der Einwohnergemeinde Hilterfingen (GBR) näher ausgeführt sei. Indem das Verwaltungsgericht diese kompetenzgemässe Aufgabenerfüllung der Bau- und Planungskommission Hilterfingen als "nicht hinreichend" bezeichne, übergehe es eine klare Zuständigkeitsregelung.</w:t>
      </w:r>
    </w:p>
    <w:p>
      <w:r>
        <w:rPr>
          <w:b/>
        </w:rPr>
        <w:t>E. 2.3</w:t>
      </w:r>
    </w:p>
    <w:p>
      <w:r>
        <w:t>Gemäss Art. 9 BV hat jede Person Anspruch darauf, von den staatlichen Organen ohne Willkür behandelt zu werden.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erscheint oder sogar vorzuziehen wäre, genügt nicht ( BGE 132 I 13 E. 5.1 S. 17 f. ; 131 I 467 E. 3.1 S. 473 f., je mit Hinweisen).</w:t>
      </w:r>
    </w:p>
    <w:p>
      <w:r>
        <w:t>Nach dem von den Beschwerdeführerinnen angesprochenen Art. 65 Abs. 1 BauG sind die Gemeinden in ihrer Ortsplanung im Rahmen der Gesetzgebung und der übergeordneten Planung frei. Gegenstand dieser Regelung ist somit die Ortsplanung, während sie sich zu den Kompetenzen im Baubewilligungsverfahren nicht äussert. Dies trifft ebenso auf den von den Beschwerdeführerinnen erwähnten Art. 69 Abs. 2 lit. c BauG zu, der allein die Kompetenz der Gemeinden zur näheren Ordnung des Ortsbild- und Landschaftsschutzes mittels Vorschriften im Baureglement umschreibt. Ausdrücklich geregelt werden die Zuständigkeiten im Baubewilligungsverfahren hingegen von Art. 33 BauG. Baubewilligungsbehörde ist danach - abgesehen von hier nicht massgebenden Ausnahmen - der Regierungsstatthalter. Für eine parallele und gleichwertige Zuständigkeit der Einwohnergemeinde Hilterfingen zur Rechtsanwendung im Rahmen des hier zur Diskussion stehenden Baubewilligungsverfahrens bleibt somit kein Raum. Die Vorinstanz hat daher nicht in willkürlicher Weise gegen eine Zuständigkeitsregel verstossen, als sie beim angefochtenen Entscheid nicht auf die Ästhetikbeurteilung der Bau- und Planungskommission Hilterfingen abgestellt hat.</w:t>
      </w:r>
    </w:p>
    <w:p>
      <w:r>
        <w:rPr>
          <w:b/>
        </w:rPr>
        <w:t>E. 3.1</w:t>
      </w:r>
    </w:p>
    <w:p>
      <w:r>
        <w:t>Die Beschwerdeführerinnen rügen weiter, die Vorinstanz habe die Rechtsprechung des Bundesgerichts und auch ihre eigene Rechtsprechung zum Beurteilungsspielraum und zum Ermessen der Gemeinden auf dem Gebiet der Ästhetikbeurteilung von Bauvorhaben in willkürlicher Weise nicht berücksichtigt. Sie hätte den Standpunkt der Gemeinde nur dann ausser acht lassen dürfen, wenn er sich als unhaltbar erwiesen hätte. An einem solchen Prüfungsergebnis fehle es jedoch im vorliegenden Fall.</w:t>
      </w:r>
    </w:p>
    <w:p>
      <w:r>
        <w:rPr>
          <w:b/>
        </w:rPr>
        <w:t>E. 3.2</w:t>
      </w:r>
    </w:p>
    <w:p>
      <w:r>
        <w:t>Nach der Rechtsprechung des Bundesgerichts steht der Baubewilligungsbehörde bei der Auslegung und Handhabung von Ästhetikklauseln regelmässig ein besonderer Ermessensspielraum zu, der im Rechtsmittelverfahren zu beachten ist (vgl. Urteil des Bundesgerichts 1P.678/2004 vom 21. Juni 2005 E. 4, publiziert in ZBl 107/2006 S. 430). Auf diese Rechtsprechung kann sich die Einwohnergemeinde Hilterfingen im vorliegenden Fall indessen nicht berufen, da sie nicht Baubewilligungsbehörde ist. Hingegen steht ihr ein aus der Gemeindeautonomie folgender Anspruch auf Gewährung des rechtlichen Gehörs zu, da die Anwendung ihres Baureglements durch kantonale Behörden strittig ist (vgl. BGE 116 Ia 52 E. 2 S. 54 f.).</w:t>
      </w:r>
    </w:p>
    <w:p>
      <w:r>
        <w:t>Dass der Einwohnergemeinde Hilterfingen das rechtliche Gehör nicht oder in einer ungenügenden Weise gewährt worden sei, wird von den Beschwerdeführerinnen nicht geltend gemacht. Sie haben somit nicht substanziiert dargetan, dass die Vorinstanz in den bei der Ästhetikbeurteilung von Bauvorhaben bestehenden Autonomiebereich der Einwohnergemeinde Hilterfingen eingegriffen hätte. Die Vorinstanz ist daher nicht in Willkür verfallen, als sie die Ästhetikbeurteilung der Bau- und Planungskommission Hilterfingen kurz als rechtlich nicht haltbar qualifiziert hat (E. 5.5) und deren Argumenten sinngemäss nicht gefolgt ist.</w:t>
      </w:r>
    </w:p>
    <w:p>
      <w:r>
        <w:rPr>
          <w:b/>
        </w:rPr>
        <w:t>E. 4.1</w:t>
      </w:r>
    </w:p>
    <w:p>
      <w:r>
        <w:t>Die Beschwerdeführerinnen rügen ferner, die Vorinstanz habe ihre auf blosse Rechtskontrolle begrenzte Kognition in willkürlicher Weise überschritten und dabei ihr Ermessen an die Stelle desjenigen der Einwohnergemeinde Hilterfingen gesetzt.</w:t>
      </w:r>
    </w:p>
    <w:p>
      <w:r>
        <w:rPr>
          <w:b/>
        </w:rPr>
        <w:t>E. 4.2</w:t>
      </w:r>
    </w:p>
    <w:p>
      <w:r>
        <w:t>Eine willkürliche Kognitionsüberschreitung durch die Vorinstanz wäre allenfalls dann zu bejahen, wenn sie ohne triftige Gründe vom Fachbericht der OLK abweichen oder sich auf diesen abstützen würde, auch wenn er offensichtlich mangelhaft wäre. Beides müsste von den Beschwerdeführerinnen substanziiert dargetan werden, was nicht zutrifft. Insbesondere stellt es keinen offensichtlichen Mangel dar, wenn im Bericht der OLK keine Beispiele von höherwertigen Bauten in der Umgebung aufgezeigt werden, an denen das strittige Bauvorhaben zu messen wäre. Nach dem Bericht der OLK liegt die Qualität des Ortes nicht im Einzelobjekt, sondern in seiner Bebauungsstruktur mit gleichartiger Ausrichtung der Bauvolumen und Anordnung der Firstrichtungen zum Hang. Am strittigen Bauvorhaben wird daher vorab kritisiert, dass diese zentralen Strukturmerkmale nicht berücksichtigt würden. Unter diesen Umständen erscheint es nicht als Mangel, dass im Bericht der OLK auf das Aufzeigen einzelner Vergleichsbauten verzichtet wird. Der Fachbericht, auf den sich die Vorinstanz wesentlich abgestützt hat, erweist sich somit nicht als offensichtlich mangelhaft. Die Rüge der willkürlichen Kognitionsüberschreitung durch die Vorinstanz ist daher unbegründet, soweit darauf überhaupt einzutreten ist.</w:t>
      </w:r>
    </w:p>
    <w:p>
      <w:r>
        <w:rPr>
          <w:b/>
        </w:rPr>
        <w:t>E. 5</w:t>
      </w:r>
    </w:p>
    <w:p>
      <w:r>
        <w:t>Die Rüge der Verletzung der Gemeindeautonomie hat im vorliegenden Zusammenhang keine selbständige Bedeutung, da das Bundesgericht bei Beschwerden wegen Verletzung der Gemeindeautonomie die Auslegung und Anwendung von kantonalem und kommunalem Gesetzes- und Verordnungsrecht auf Willkür hin prüft (vgl. BGE 131 I 91 E. 1 S. 93 ; 128 I 3 E. 2b S. 9, je mit Hinweisen). Wie in den E. 2 bis 4 dargelegt, verstösst der angefochtene Entscheid nicht gegen das Willkürverbot.</w:t>
      </w:r>
    </w:p>
    <w:p>
      <w:r>
        <w:rPr>
          <w:b/>
        </w:rPr>
        <w:t>E. 6</w:t>
      </w:r>
    </w:p>
    <w:p>
      <w:r>
        <w:t>Die Beschwerde ist daher abzuweisen, soweit darauf einzutreten ist.</w:t>
      </w:r>
    </w:p>
    <w:p>
      <w:r>
        <w:t>Die Gerichtskosten werden der unterliegenden Partei auferlegt ( Art. 66 Abs. 1 und 5 BGG ). Die Beschwerdeführerinnen haben dem Beschwerdegegner eine angemessene Parteientschädigung zu bezahlen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