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119/2017 vom 19. Mai 2017</w:t>
      </w:r>
    </w:p>
    <w:p>
      <w:r>
        <w:t>Bundesgericht, 2017-05-19, FR</w:t>
      </w:r>
    </w:p>
    <w:p>
      <w:r>
        <w:rPr>
          <w:b/>
        </w:rPr>
        <w:t xml:space="preserve">Quelle: </w:t>
      </w:r>
      <w:r>
        <w:t>https://mcp.opencaselaw.ch/entscheid/bger_1C_119_2017</w:t>
      </w:r>
    </w:p>
    <w:p>
      <w:r>
        <w:t>FR: TF 1C 119/2017 du 19 mai 2017</w:t>
      </w:r>
    </w:p>
    <w:p>
      <w:r>
        <w:t>IT: TF 1C 119/2017 del 19 maggio 2017</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Il se plaint d'une violation de l'art. 41 de la loi sur la nationalité du 29 septembre 1952 (LN, RS 141.0), ainsi que de l'établissement inexact des faits ( art. 97 al. 1 LTF ).</w:t>
      </w:r>
    </w:p>
    <w:p>
      <w:r>
        <w:rPr>
          <w:b/>
        </w:rPr>
        <w:t>E. 2.1</w:t>
      </w:r>
    </w:p>
    <w:p>
      <w:r>
        <w:t>Le Tribunal fédéral statue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w:t>
      </w:r>
    </w:p>
    <w:p>
      <w:r>
        <w:rPr>
          <w:b/>
        </w:rPr>
        <w:t>E. 2.2</w:t>
      </w:r>
    </w:p>
    <w:p>
      <w:r>
        <w:t>Conformément à l' art. 41 al. 1 LN , l'ODM peut, avec l'assentiment de l'autorité du canton d'origine, annuler la naturalisation ou la réintégration obtenue par des déclarations mensongères ou la dissimulation de faits essentiels.</w:t>
      </w:r>
    </w:p>
    <w:p>
      <w:r>
        <w:rPr>
          <w:b/>
        </w:rPr>
        <w:t>E. 2.2.1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au sens de l' art. 27 LN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Une communauté de vie aux sens de l' art. 27 LN peut exceptionnellement être admise lorsque les époux ont cessé d'avoir un domicile unique, pour autant que la création de domiciles séparés repose sur des motifs plausibles et que la stabilité du mariage ne soit manifestement pas en cause ( ATF 121 II 49 consid. 2b).</w:t>
      </w:r>
    </w:p>
    <w:p>
      <w:r>
        <w:rPr>
          <w:b/>
        </w:rPr>
        <w:t>E. 2.2.2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2.3</w:t>
      </w:r>
    </w:p>
    <w:p>
      <w:r>
        <w:t>Dans un premier moyen, le recourant soutient que l'instance précédente aurait dû admettre l'existence d'une communauté conjugale stable entre les époux, malgré l'absence d'un domicile commun. Il lui reproche notamment d'avoir constaté, de façon manifestement inexacte, qu'il n'aurait jamais allégué devant le SEM avoir maintenu une véritable communauté conjugale après la séparation intervenue en juin 2015. Il se prévaut à cet égard des nombreux contacts téléphoniques entre les époux, mais également des activités communes qu'ils partagent comme le jardinage, des repas, la politique et la participation à des manifestations publiques; il se réfère en outre aux courriers de tiers attestant que les époux continuaient d'avoir des activités communes. Le Tribunal administratif fédéral a certes constaté que les intéressés, une fois séparés, avaient maintenu des contacts réguliers (cf. notamment les relevés de communication de l'abonnement de téléphone de l'intéressé versés au dossier par pli du 5 août 2016), que le recourant avait soutenu les activités politiques de son épouse (cf. les observations du 15 septembre 2015 p. 2 in fine), qu'ils faisaient du jardinage ensemble (cf. le procès-verbal de l'audition de son épouse du 12 janvier 2016 p. 4 pt. 7), qu'ils partageaient des repas et d'autres loisirs (cf. les lettres de soutien du 11 juillet 2016). Toutefois, force est d'admettre, avec l'instance précédente, que les liens que les époux ont conservé ne sauraient être assimilés à ceux d'une véritable communauté conjugale au sens de l' art. 27 LN . Contrairement à ce que soutient le recourant, le Tribunal administratif fédéral pouvait sans arbitraire tenir compte du fait que les époux n'avaient jamais allégué, durant la procédure devant le SEM, avoir maintenu, malgré l'existence de domiciles séparés, une communauté conjugale stable et effective au sens de la jurisprudence précitées (cf. courriers du recourant des 15 septembre 2015 et 18 février 2016; procès-verbal d'audition de l'épouse du 12 janvier 2016). De plus, l'épouse du recourant a notamment déclaré que si celui-ci devenait autonome financièrement et qu'il trouvait un travail fixe et stable, ils pourraient rediscuter de la reprise de la vie commune. On ne saurait, dans ces circonstances, considérer que les époux avaient manifestement une volonté commune et intacte de maintenir une communauté conjugale. De plus, la conception du mariage, protégée par le législateur, implique notamment un devoir d'assistance mutuelle entre les époux; en l'occurrence, une union stable et effective imposerait à ces derniers de s'entraider plutôt que de chercher à contourner les règles sur le droit aux prestations sociales. Enfin, quoi qu'en pense le recourant, le fait que le domicile des époux serait géographiquement proche (1 km) et que son appartement serait un ancien garage est sans pertinence. Ne sont pas non plus décisives les lettres de tiers attestant que les époux continuaient d'avoir des activités communes. Le Tribunal administratif fédéral n'a donc pas violé le droit fédéral en considérant que les intéressés n'avaient pas maintenu une communauté conjugale au sens de l' art. 27 LN après leur séparation intervenue en juin 2015.</w:t>
      </w:r>
    </w:p>
    <w:p>
      <w:r>
        <w:rPr>
          <w:b/>
        </w:rPr>
        <w:t>E. 2.4</w:t>
      </w:r>
    </w:p>
    <w:p>
      <w:r>
        <w:t>Le recourant conteste ensuite la présomption, retenue par l'instance précédente, selon laquelle la communauté conjugale n'était pas stable et orientée vers l'avenir au moment de la naturalisation facilitée. Sa critique doit être rejetée. En effet, le Tribunal administratif fédéral pouvait, au vu de la jurisprudence rendue en la matière (cf. notamment arrêts du Tribunal fédéral 1C_796/2013 du 13 mars 2014 consid. 3.2 et 1C_172/2012 du 11 mai 2012 consid. 2.3), considérer que l'enchaînement chronologique entre la déclaration commune (le 4 décembre 2013), l'octroi de la naturalisation facilitée (le 10 décembre 2013) et la séparation des époux (le 19 juin 2015) fondait la présomption que la naturalisation facilitée avait été obtenue frauduleusement. Pour l'instance précédente, cette présomption était notamment renforcée par le fait que la décision de se remarier avec une citoyenne suisse, de 26 ans son aînée, avait été prise alors que le recourant s'était vu refusé fin 2008 le renouvellement de son autorisation de séjour en raison de la séparation avec sa première épouse. Quoi qu'en pense le recourant, l'instance précédente pouvait, sans violer le droit fédéral, prendre en compte ces éléments dans son appréciation.</w:t>
      </w:r>
    </w:p>
    <w:p>
      <w:r>
        <w:rPr>
          <w:b/>
        </w:rPr>
        <w:t>E. 2.5</w:t>
      </w:r>
    </w:p>
    <w:p>
      <w:r>
        <w:t>Pour renverser la présomption établie, le recourant affirme qu'il a rendu vraisemblable qu'il vivait dans une communauté conjugale stable avec son épouse malgré la séparation et qu'il n'a pas menti au moment de sa naturalisation facilitée. Il se prévaut du fait qu'il n'était alors pas au chômage et qu'il ne pouvait pas prévoir se retrouver en fin de droit et devoir entreprendre des mesures d'insertion professionnelle pour ne pas être exclu du marché de l'emploi. Les arguments du recourant ne permettent toutefois pas de renverser la présomption établie. Celui-ci ne répond en particulier pas à l'argumentation de l'instance précédente qui a exposé de façon convaincante que la situation professionnelle du recourant était instable depuis des années (celui-ci avait notamment déjà connu une période de chômage de 18 mois dès 2011) et que cette situation n'avait pas créé des différends conjugaux au sein du couple avant la séparation. Aussi, il n'apparaît pas crédible que les difficultés professionnelles de l'intéressé aient conduit à la rupture définitive de l'union conjugale, prétendument effective et stable, seulement deux mois après la fin de son droit aux prestations de l'assurance-chômage. Avec l'instance précédente, force est d'admettre que les éléments invoqués par le recourant ne sauraient suffire, à eux seuls, pour expliquer une dégradation aussi rapide du lien conjugal. L'intéressé n'a pas non plus rendu plausible qu'il formait avec son épouse une communauté conjugale effective et stable au moment de la signature de la déclaration de vie commune et de l'octroi de la naturalisation facilitée.</w:t>
      </w:r>
    </w:p>
    <w:p>
      <w:r>
        <w:rPr>
          <w:b/>
        </w:rPr>
        <w:t>E. 2.6</w:t>
      </w:r>
    </w:p>
    <w:p>
      <w:r>
        <w:t>Il en découle que les conditions d'application de l' art. 41 LN sont réunies et que le Tribunal administratif fédéral n'a pas violé le droit fédéral en confirmant l'annulation de la naturalisation facilitée qui avait été octroyée au recourant.</w:t>
      </w:r>
    </w:p>
    <w:p>
      <w:r>
        <w:rPr>
          <w:b/>
        </w:rPr>
        <w:t>E. 3</w:t>
      </w:r>
    </w:p>
    <w:p>
      <w:r>
        <w:t>Sur le vu de ce qui précède, le recours doit être rejeté dans la mesure de sa recevabilité. Dès lors que le recourant est dans le besoin et que ses conclusions ne paraissaient pas d'emblée vouées à l'échec, sa requête d'assistance judiciaire doit être admise ( art. 64 al. 1 LTF ). Par conséquent, il y a lieu de le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