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119/2010 vom 15. Juli 2010</w:t>
      </w:r>
    </w:p>
    <w:p>
      <w:r>
        <w:t>Bundesgericht, 2010-07-15, DE</w:t>
      </w:r>
    </w:p>
    <w:p>
      <w:r>
        <w:rPr>
          <w:b/>
        </w:rPr>
        <w:t xml:space="preserve">Quelle: </w:t>
      </w:r>
      <w:r>
        <w:t>https://mcp.opencaselaw.ch/entscheid/bger_1C_119_2010</w:t>
      </w:r>
    </w:p>
    <w:p>
      <w:r>
        <w:t>FR: TF 1C 119/2010 du 15 juillet 2010</w:t>
      </w:r>
    </w:p>
    <w:p>
      <w:r>
        <w:t>IT: TF 1C 119/2010 del 15 luglio 2010</w:t>
      </w:r>
    </w:p>
    <w:p>
      <w:pPr>
        <w:pStyle w:val="Heading2"/>
      </w:pPr>
      <w:r>
        <w:t>Regeste</w:t>
      </w:r>
    </w:p>
    <w:p>
      <w:r>
        <w:t>Baubewilligung | Raumplanung und öffentliches Baurecht</w:t>
      </w:r>
    </w:p>
    <w:p>
      <w:pPr>
        <w:pStyle w:val="Heading2"/>
      </w:pPr>
      <w:r>
        <w:t>Erwägungen</w:t>
      </w:r>
    </w:p>
    <w:p>
      <w:r>
        <w:rPr>
          <w:b/>
        </w:rPr>
        <w:t>E. 1.1</w:t>
      </w:r>
    </w:p>
    <w:p>
      <w:r>
        <w:t>Das Bundesgericht prüft von Amtes wegen und mit freier Kognition, ob und inwieweit auf ein Rechtsmittel eingetreten werden kann ( Art. 29 Abs. 1 BGG ; BGE 133 II 249 E. 1.1 S. 251). Angefochten ist ein kantonal letztinstanzlicher Entscheid ( Art. 86 Abs. 1 lit. d BGG ), der eine öffentlich-rechtliche Angelegenheit im Sinne von Art. 82 lit. a BGG betrifft. Ein Ausschlussgrund gemäss Art. 83 BGG liegt nicht vor. Beim angefochtenen Urteil handelt es sich um einen Endentscheid ( Art. 90 BGG ). Der Beschwerdeführer hat am vorinstanzlichen Verfahren teilgenommen, ist als Nachbar durch den angefochtenen Entscheid besonders berührt und hat ein schutzwürdiges Interesse an dessen Aufhebung oder Änderung ( Art. 89 Abs. 1 BGG ).</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rPr>
          <w:b/>
        </w:rPr>
        <w:t>E. 1.3</w:t>
      </w:r>
    </w:p>
    <w:p>
      <w:r>
        <w:t>Neue Tatsachen und Beweismittel dürfen nur soweit vorgebracht werden, als der Entscheid der Vorinstanz dazu Anlass gibt, was in der Beschwerde näher darzulegen ist ( Art. 99 Abs. 1 BGG ; BGE 134 V 223 E. 2.2.1 S. 226; BGE 133 III 393 E. 3 S. 395).</w:t>
      </w:r>
    </w:p>
    <w:p>
      <w:r>
        <w:rPr>
          <w:b/>
        </w:rPr>
        <w:t>E. 1.3.1</w:t>
      </w:r>
    </w:p>
    <w:p>
      <w:r>
        <w:t>Der Beschwerdeführer rügt erstmals vor Bundesgericht, durch die Erteilung der Baubewilligung werde "eine neue Lärm-Immissionsquelle zugelassen, obwohl die Lärm-Immissionsgrenzwerte für die Obere Zollgasse bereits überschritten" seien. Dies ergebe sich explizit aus zwei Verfügungen des Departements Tiefbau der Einwohnergemeinde Ostermundigen vom 17. November 2009, welche ihm am 24. November 2009 zugestellt worden seien. Die Nichtbeachtung dieser Grenzwertüberschreitung verletze die Grundsätze des USG (SR 814.01) und die Art. 7-9 und Art. 36 der Lärmschutz-Verordnung vom 15. Dezember 1986 (LSV; SR 814.41) . Zudem habe die Einwohnergemeinde Ostermundigen seinen Anspruch auf rechtliches Gehör missachtet und sich wider Treu und Glauben verhalten, indem sie die ihr mindestens seit Beginn des Jahres 2009 bekannten Messergebnisse verheimlicht habe. Er selbst hingegen habe keine Gelegenheit gehabt, diese neuen Tatsachen bereits früher geltend zu machen.</w:t>
      </w:r>
    </w:p>
    <w:p>
      <w:r>
        <w:rPr>
          <w:b/>
        </w:rPr>
        <w:t>E. 1.3.2</w:t>
      </w:r>
    </w:p>
    <w:p>
      <w:r>
        <w:t>Im Verfahren vor der Vorinstanz thematisierte der Beschwerdeführer die vorbestehende Lärmbelastung an der Oberen Zollgasse und die (mutmassliche) Überschreitung der Lärmimmissionsgrenzwerte durch die geplante Erstellung von 14 neuen Parkplätzen nicht, obwohl er durch den Entscheid der BVE beschwert war und es ihm möglich gewesen wäre, die dem Bundesgericht eingereichten Verfügungen des Departements Tiefbau der Einwohnergemeinde Ostermundigen vom 17. November 2009 bereits im vorinstanzlichen Verfahren einzubringen. Der angefochtene Entscheid erging erst am 19. Januar 2010, und nach kantonalem Recht dürfen die Parteien so lange neue Tatsachen und Beweismittel in das Verfahren einbringen als weder verfügt noch entschieden noch mit prozessleitender Verfügung das Beweisverfahren förmlich geschlossen wurde (Art. 25 des Gesetzes vom 23. Mai 1989 über die Verwaltungsrechtspflege im Kanton Bern [VRPG; BSG 155.21]). Entgegen der in der Beschwerde vertretenen Auffassung traf die Einwohnergemeinde Ostermundigen als Baubewilligungsbehörde keine rechtliche Verpflichtung, die mit dem vorliegenden Verfahren nicht in direktem Zusammenhang stehenden Verfügungen vom 17. November 2010 von sich aus der Vorinstanz zur Kenntnis zu bringen, weshalb auch der Anspruch des Beschwerdeführers auf rechtliches Gehör und der Grundsatz von Treu und Glauben nicht verletzt wurden. Für die Vorinstanz jedenfalls bestand bei dieser Sachlage kein Anlass, sich in ihrem Urteil zur mutmasslichen Lärmbelastung zu äussern.</w:t>
      </w:r>
    </w:p>
    <w:p>
      <w:r>
        <w:rPr>
          <w:b/>
        </w:rPr>
        <w:t>E. 1.3.3</w:t>
      </w:r>
    </w:p>
    <w:p>
      <w:r>
        <w:t>In seiner Beschwerde ans Bundesgericht setzt sich der Beschwerdeführer in keiner Weise mit der Begründung des angefochtenen Urteils auseinander. Vielmehr beschränken sich seine Ausführungen auf den neu vorgebrachten Aspekt, wonach durch die zukünftige Nutzung der Parkfelder Mehrverkehr entstehe, welcher zwangsläufig zu mehr Lärm führe. Insoweit ist nicht ersichtlich und wird vom Beschwerdeführer auch nicht aufgezeigt, inwiefern erst der Entscheid der Vorinstanz zum Geltendmachen der neuen Tatsachen und Einreichen der neuen Beweismittel - sprich der beiden Verfügungen vom 17. November 2009 - Anlass bot. Soweit der Beschwerdeführer im Übrigen auf angeblich vom Betrieb der Verladerampe ausgehende Lärmimmissionen hinweist, substanziiert er seine Rüge nicht näher. Insbesondere legt er nicht dar, weshalb die behauptete Lärmproblematik trotz der von der Vorinstanz neu festgesetzten Auflage, die Verladerampe mit einer Lärmschleuse zu versehen, (weiterhin) bestehen sollte.</w:t>
      </w:r>
    </w:p>
    <w:p>
      <w:r>
        <w:rPr>
          <w:b/>
        </w:rPr>
        <w:t>E. 1.3.4</w:t>
      </w:r>
    </w:p>
    <w:p>
      <w:r>
        <w:t>Der Beschwerdeführer bringt im Verfahren vor Bundesgericht somit neue Tatsachen und Beweismittel vor, ohne dass der Entscheid der Vorinstanz dazu Anlass bot. Die weiteren Rügen substanziiert er nicht hinreichend. Auf die Beschwerde ist daher nicht einzutreten.</w:t>
      </w:r>
    </w:p>
    <w:p>
      <w:r>
        <w:rPr>
          <w:b/>
        </w:rPr>
        <w:t>E. 2</w:t>
      </w:r>
    </w:p>
    <w:p>
      <w:r>
        <w:t>Bei diesem Ausgang des Verfahrens sind die bundesgerichtlichen Kosten dem Beschwerdeführer aufzuerlegen ( Art. 66 Abs. 1 BGG ). Dieser hat der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