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1C_118/2012 vom 2. November 2012</w:t>
      </w:r>
    </w:p>
    <w:p>
      <w:r>
        <w:t>Bundesgericht, 2012-11-02, DE</w:t>
      </w:r>
    </w:p>
    <w:p>
      <w:r>
        <w:rPr>
          <w:b/>
        </w:rPr>
        <w:t xml:space="preserve">Quelle: </w:t>
      </w:r>
      <w:r>
        <w:t>https://mcp.opencaselaw.ch/entscheid/bger_1C_118_2012</w:t>
      </w:r>
    </w:p>
    <w:p>
      <w:r>
        <w:t>FR: TF 1C_118/2012 du 2 novembre 2012</w:t>
      </w:r>
    </w:p>
    <w:p>
      <w:r>
        <w:t>IT: TF 1C_118/2012 del 2 novembre 2012</w:t>
      </w:r>
    </w:p>
    <w:p>
      <w:pPr>
        <w:pStyle w:val="Heading2"/>
      </w:pPr>
      <w:r>
        <w:t>Erwägungen</w:t>
      </w:r>
    </w:p>
    <w:p>
      <w:r>
        <w:rPr>
          <w:b/>
        </w:rPr>
        <w:t>E. 1.1</w:t>
      </w:r>
    </w:p>
    <w:p>
      <w:r>
        <w:t>Beim angefochtenen Urteil handelt es sich um einen kantonal letztinstanzlichen Endentscheid ( Art. 86 Abs. 1 lit. d BGG ). Ihm liegt ein Beschwerdeverfahren über ein Wiedererwägungsgesuch in Bezug auf einen Abbruchbefehl einer Liegenschaft und damit eine öffentlich-rechtliche Angelegenheit zugrunde ( Art. 82 lit. a BGG ; BGE 133 II 249 E. 1.2 S. 251, 409 E. 1.1 S. 411). Ein Ausschlussgrund nach Art. 83 BGG liegt nicht vor. Der Beschwerdeführer hat vor der Vorinstanz am Verfahren teilgenommen. Er ist Eigentümer der Liegenschaft, die Gegenstand des allenfalls in Wiedererwägung zu ziehenden Abbruchbefehls ist, und ist damit durch den angefochtenen Entscheid besonders berührt. Er hat demnach ein schutzwürdiges Interesse an der Aufhebung oder Änderung des Urteils der Vorinstanz, weshalb er zur Beschwerde beim Bundesgericht berechtigt ist (vgl. Art. 89 Abs. 1 BGG ). Auf die frist- und formgerecht eingereichte Beschwerde ist unter Vorbehalt von E. 1.2 und 1.3 hiernach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geltend gemacht wird. Diese prüft das Bundesgericht nicht von Amtes wegen, sondern nur insoweit, als eine solche Rüge in der Beschwerde vorgebracht und begründet worden ist ( Art. 106 Abs. 2 BGG ). Für derartige Rügen gelten die gleichen Begründungsanforderungen, wie sie gestützt auf Art. 90 Abs. 1 lit. b des Bundesrechtspflegegesetzes (OG; BS 3 531) für die staatsrechtliche Beschwerde gegolten haben ( BGE 136 I 49 E. 1.4.1 S. 53; 133 II 249 E. 1.4.2 S. 254; je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f. mit Hinweisen).</w:t>
      </w:r>
    </w:p>
    <w:p>
      <w:r>
        <w:t>Ob die Beschwerdeschrift diesen Begründungsanforderungen im Einzelnen genügt, bleibt im jeweiligen Sachzusammenhang zu prüfen.</w:t>
      </w:r>
    </w:p>
    <w:p>
      <w:r>
        <w:rPr>
          <w:b/>
        </w:rPr>
        <w:t>E. 1.3</w:t>
      </w:r>
    </w:p>
    <w:p>
      <w:r>
        <w:t>Nicht einzutreten ist auf die Eventualanträge des Beschwerdeführers, auch die Entscheide des Regierungsrates und des Gemeinderates A.________ sowie die Verfügung des Amtes für Landwirtschaft aufzuheben. Unterinstanzliche Entscheide sind mit Beschwerde in öffentlich-rechtlichen Angelegenheiten nicht selbstständig anfechtbar. Sie werden mit Blick auf den Devolutiveffekt durch den Entscheid der letzten kantonalen Instanz ersetzt und gelten inhaltlich mit der dagegen gerichteten Beschwerde als mitangefochten (vgl. BGE 134 II 142 E. 1.4 S. 144 mit Hinweis).</w:t>
      </w:r>
    </w:p>
    <w:p>
      <w:r>
        <w:rPr>
          <w:b/>
        </w:rPr>
        <w:t>E. 2.1</w:t>
      </w:r>
    </w:p>
    <w:p>
      <w:r>
        <w:t>Der Beschwerdeführer rügt die Verletzung seines verfassungs-rechtlichen Anspruchs auf rechtliches Gehör gemäss Art. 29 Abs. 2 BV in verschiedener Hinsicht.</w:t>
      </w:r>
    </w:p>
    <w:p>
      <w:r>
        <w:rPr>
          <w:b/>
        </w:rPr>
        <w:t>E. 2.1.1</w:t>
      </w:r>
    </w:p>
    <w:p>
      <w:r>
        <w:t>Der Beschwerdeführer macht zunächst geltend, die Vorinstanz habe sich geweigert, auf die alte Abbruchfrist überhaupt noch zurückzukommen. Unter Ziffer 5.5, Seite 12, des angefochtenen Entscheides, habe sich das Verwaltungsgericht bloss pro forma (nicht effektiv) zur Verhältnismässigkeit der Abbruchfrist geäussert, und zwar mit einem einzigen Halbsatz. Die Vorinstanz habe sich mit den neuen Sachverhaltselementen bzw. mit der Notlage des Beschwerdeführers nur pro forma auseinandergesetzt. Sie habe die persönliche Situation des Beschwerdeführers auch nicht dem öffentlichen Interesse gegenübergestellt. Durch die fehlende Auseinandersetzung mit allen relevanten Sachvorbringen habe die Vorinstanz gegenüber dem Beschwerdeführer den Anspruch auf rechtliches Gehör nach Art. 29 Abs. 2 BV verletzt.</w:t>
      </w:r>
    </w:p>
    <w:p>
      <w:r>
        <w:rPr>
          <w:b/>
        </w:rPr>
        <w:t>E. 2.1.2</w:t>
      </w:r>
    </w:p>
    <w:p>
      <w:r>
        <w:t>Der Anspruch auf rechtliches Gehör verlangt von der Behörde, dass sie die Vorbringen der Beschwerdeführer tatsächlich hört, ernsthaft prüft und in ihrer Entscheidfindung angemessen berücksichtigt ( BGE 136 I 184 E. 2.2.1 S. 188 mit Hinweis).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134 I 83 E. 4.1 S. 88 mit Hinweisen).</w:t>
      </w:r>
    </w:p>
    <w:p>
      <w:r>
        <w:rPr>
          <w:b/>
        </w:rPr>
        <w:t>E. 2.1.3</w:t>
      </w:r>
    </w:p>
    <w:p>
      <w:r>
        <w:t>Die Vorinstanz hat erwogen, dass die Abbruchpflicht und deren Einhaltung mit Bezug auf die Erhaltung der Zonenkonformität eine conditio sine qua non sei. Daraus sei wiederum zwingend zu folgern, dass der Bewilligungsbehörde bei der Bemessung der Abbruchfrist nur ein geringer Ermessensspielraum zukomme, ansonsten in rechtswidriger Weise längerfristig zonenwidrige Verhältnisse toleriert würden. Mit der Konsumation der Raumplanungsbewilligung sei zwingend die Auflage betreffend Abbruchpflicht umzusetzen. Davon könne höchstens abgesehen werden, wenn sich nachträglich eine zusätzliche Wohnraumerweiterung als rechtmässig erweise. Dies werde indes vor Verwaltungsgericht weder geltend gemacht noch sei ein solcher Sachverhalt erkennbar. Der Beschwerdeführer wende sinngemäss vielmehr ein, die Abbruchfrist sei wegen der angeführten veränderten Verhältnisse nachträglich fehlerhaft geworden. Dies würde dann zutreffen, wenn die veränderten Verhältnisse, wären sie bereits im Bewilligungsverfahren eingetreten, eine längere Abbruchfrist zur Folge gehabt hätten. Solches müsse jedoch klar verneint werden, zumal eine überlange Abbruchfrist wegen des zonenwidrigen Zustandes per se nicht zulässig wäre. Hätte sich im Zeitpunkt der Bewilligungserteilung die Sachlage so dargestellt, dass die Hofübergabe und Weiterführung des Landwirtschaftsbetriebes wegen der gescheiterten Ehe des Sohnes, der daraus entstehenden Finanzierungsschwierigkeiten, der verschärften Voraussetzungen für Direktzahlungen, der Verpachtung der landwirtschaftlichen Nutzflächen, der ARA-Anschlusspflicht sowie des Alters und der Krankheit des Beschwerdeführers nicht möglich gewesen wäre, hätte sich nicht die Frage einer verlängerten Abbruchfrist, sondern vielmehr der Bewilligungsfähigkeit des Ersatzbaus gestellt. Aus dem Umstand, dass die Bewilligungsfähigkeit aufgrund der nachträglich veränderten Verhältnisse allenfalls fragwürdig erscheine, könne der Beschwerdeführer nach der Konsumation der Baubewilligung, die er im Übrigen in Kenntnis der heiklen Finanzierung vorgenommen habe, nichts zu seinen Gunsten ableiten. Mit der Gewährung einer überlangen Abbruchfrist würde die Frage der Rechtmässigkeit vielmehr zusätzlich verschärft. Der Beschwerdeführer habe im Wissen um die Auflage den Ersatzbau erstellt, worauf er zu behaften sei. Selbst wenn die veränderten Verhältnisse nachträglich wiedererwägungsweise unter dem Titel der Verhältnismässigkeit zu berücksichtigen wären, sei dem mit der bereits rechtlich und faktisch eingeräumten Verlängerung um mehr als drei Jahre mehr als Genüge getan.</w:t>
      </w:r>
    </w:p>
    <w:p>
      <w:r>
        <w:rPr>
          <w:b/>
        </w:rPr>
        <w:t>E. 2.1.4</w:t>
      </w:r>
    </w:p>
    <w:p>
      <w:r>
        <w:t>Damit hat sich die Vorinstanz entgegen der Behauptung des Beschwerdeführers mit der Frage, ob veränderte Verhältnisse vorliegen, auseinandergesetzt und auf nachvollziehbare Weise dargelegt, weshalb keine wesentlich veränderten Verhältnisse anzunehmen seien, welche die anbegehrte Verlängerung der Abbruchfrist rechtfertigen würden. Auch hat die Vorinstanz die privaten Interessen des Beschwerdeführers den öffentlichen Interessen gegenübergestellt, indem sie erwogen hat, dass das erhebliche öffentliche Interesse an der Durchsetzung der Zonenkonformität einem weiteren Entgegenkommen zugunsten des Beschwerdeführers widersprechen würde. Zudem hat die Vorinstanz Überlegungen zur Verhältnismässigkeit einbezogen. Obschon die Vorinstanz der Rechtsauffassung des Beschwerdeführers nicht gefolgt ist, hat sie ihm gleichwohl Gehör gewährt. Von einer Verletzung des verfassungsmässigen Anspruchs auf rechtliches Gehör kann in diesem Punkt daher keine Rede sein.</w:t>
      </w:r>
    </w:p>
    <w:p>
      <w:r>
        <w:rPr>
          <w:b/>
        </w:rPr>
        <w:t>E. 2.2.1</w:t>
      </w:r>
    </w:p>
    <w:p>
      <w:r>
        <w:t>Der Beschwerdeführer sieht seinen Anspruch auf rechtliches Gehör im Weiteren darin verletzt, dass sich die Vorinstanz geweigert habe, auf die Wiedererwägung überhaupt einzutreten. Die Verhältnisse hätten sich seit dem ersten Entscheid wesentlich geändert, so dass ein bundesrechtlicher Anspruch auf Behandlung des Wiedererwägungsgesuches bestehe. Die neuen Tatsachen seien nicht zur Kenntnis genommen worden.</w:t>
      </w:r>
    </w:p>
    <w:p>
      <w:r>
        <w:rPr>
          <w:b/>
        </w:rPr>
        <w:t>E. 2.2.2</w:t>
      </w:r>
    </w:p>
    <w:p>
      <w:r>
        <w:t>Die Verwaltungsbehörden können unter bestimmten Voraussetzungen ihre Verfügungen in Wiedererwägung ziehen. Sie sind dazu angehalten, soweit sich eine entsprechende Pflicht aus einer gesetzlichen Regelung oder einer konstanten Verwaltungspraxis ergibt; überdies leitet sich aus Art. 29 BV ein Anspruch auf Wiedererwägung ab,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hierzu keine Veranlassung bestand. Die Wiedererwägung oder Revision darf aber nicht dazu dienen, rechtskräftige Entscheide immer wieder in Frage zu stellen oder gesetzliche Vorschriften über die Rechtsmittelfristen zu umgehen ( BGE 136 II 177 E. 2.1 S. 181; 130 IV 72 E. 2.2 S. 74 ; 127 I 133 E. 6 S. 137 f.; 124 II 1 E. 3a S. 5 f.; 120 Ib 42 E. 2b S. 46 f.; 113 Ia 146 E. 3a S. 152; Urteile 1C_217/2010 vom 3. Februar 2011 E. 3.3; 2C_274/2009 vom 28. Oktober 2009 E. 2.2).</w:t>
      </w:r>
    </w:p>
    <w:p>
      <w:r>
        <w:rPr>
          <w:b/>
        </w:rPr>
        <w:t>E. 2.2.3</w:t>
      </w:r>
    </w:p>
    <w:p>
      <w:r>
        <w:t>Das Verwaltungsgericht ist in seinem Entscheid zum Schluss gekommen, dass die Vorinstanzen zu Recht keine wesentlichen Veränderungen angenommen hätten, um die angestrebte Verlängerung der Abbruchfrist zu rechtfertigen. Es ging vielmehr davon aus, dass die vom Beschwerdeführer geltend gemachten veränderten Verhältnisse (Unmöglichkeit der Hofübergabe und Weiterführung des Landwirtschaftsbetriebes wegen der gescheiterten Ehe des Sohnes, daraus entstehende Finanzierungsschwierigkeiten, strengere Voraussetzungen für Direktzahlungen, Verpachtung der landwirtschaftlichen Nutzflächen, ARA-Anschlusspflicht, Kosten für neuen Deckbelag der Zufahrtsstrasse und Dachsanierung sowie Alter und Krankheit des Beschwerdeführers), wären sie im Zeitpunkt der Raumplanungsbewilligung bekannt gewesen, die Bewilligungsfähigkeit des Ersatzbaus an sich in Frage gestellt hätten. Insofern hat die Vorinstanz zu Recht erwogen, dass der Beschwerdeführer aus der wegen nachträglich veränderter Verhältnisse allenfalls im Nachhinein fragwürdig erscheinenden Bewilligungsfähigkeit der Ersatzbaute im Hinblick auf die Dauer der Abbruchfrist nichts zu seinen Gunsten ableiten kann. Was der Beschwerdeführer dagegen einwendet, erschöpft sich in appellatorischer Kritik am angefochtenen Entscheid. Er beschränkt sich darauf, seine Sicht der Dinge nochmals darzulegen, ohne in rechtsgenüglicher Weise eine Verletzung des Anspruchs auf rechtliches Gehör darzutun (vgl. oben E. 1.2). Auf die entsprechende Rüge ist folglich nicht einzutreten.</w:t>
      </w:r>
    </w:p>
    <w:p>
      <w:r>
        <w:rPr>
          <w:b/>
        </w:rPr>
        <w:t>E. 3.1</w:t>
      </w:r>
    </w:p>
    <w:p>
      <w:r>
        <w:t>Der Beschwerdeführer rügt ferner, die Vorinstanz habe den Sachverhalt unrichtig und unvollständig festgestellt, weil sie den vom Beschwerdeführer im Detail geschilderten und belegten Sachverhalt, so die neuen Sachumstände seit der erstmaligen Anordnung der Abbruchfrist, gar nicht erst festgestellt habe. Die fehlende Feststellung dieser neuen Sachumstände verhindere eine Neubeurteilung der Abbruchfrist. Die Behebung dieses Sachverhaltsmangels sei für den Ausgang des Verfahrens entscheidend.</w:t>
      </w:r>
    </w:p>
    <w:p>
      <w:r>
        <w:rPr>
          <w:b/>
        </w:rPr>
        <w:t>E. 3.2</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Der Einwand, der Sachverhalt sei offensichtlich unrichtig festgestellt worden, ist gleichzusetzen mit der Willkürrüge ( BGE 137 I 58 E. 4.1.2 S. 62; 133 II 249 E. 1.2.2 S. 252). Diese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3.3</w:t>
      </w:r>
    </w:p>
    <w:p>
      <w:r>
        <w:t>Die Rüge der unrichtigen und unvollständigen Sachverhaltsermittlung erweist sich als unbegründet. Es trifft nicht zu, dass die Vorinstanz die vom Beschwerdeführer seit der erstmaligen Anordnung der Abbruchfrist angeführten veränderten Sachumstände unbeachtet liess. Diese Umstände werden im angefochtenen Entscheid ausdrücklich mehrmals erwähnt und auch gewürdigt (Ziffern 2, 4 und 5 des angefochtenen Entscheides).</w:t>
      </w:r>
    </w:p>
    <w:p>
      <w:r>
        <w:rPr>
          <w:b/>
        </w:rPr>
        <w:t>E. 4</w:t>
      </w:r>
    </w:p>
    <w:p>
      <w:r>
        <w:t>Soweit der Beschwerdeführer eine Verletzung des Willkürverbotes nach Art. 9 BV rügt, lässt er es bei einer appellatorischen Kritik am vorinstanzlichen Urteil bewenden und bringt nichts vor, was geeignet wäre, die verwaltungsgerichtlichen Erwägungen verfassungswidrig erscheinen zu lassen. Insbesondere setzt er sich nicht substantiiert mit den Erwägungen der Vorinstanz auseinander und legt nicht dar, inwiefern diese Bundesrecht verletzen. Auf diesen Einwand ist nicht einzutreten (vgl. oben E. 1.2).</w:t>
      </w:r>
    </w:p>
    <w:p>
      <w:r>
        <w:rPr>
          <w:b/>
        </w:rPr>
        <w:t>E. 5.1</w:t>
      </w:r>
    </w:p>
    <w:p>
      <w:r>
        <w:t>Demnach ist die Beschwerde abzuweisen, soweit darauf eingetreten werden kann.</w:t>
      </w:r>
    </w:p>
    <w:p>
      <w:r>
        <w:rPr>
          <w:b/>
        </w:rPr>
        <w:t>E. 5.2</w:t>
      </w:r>
    </w:p>
    <w:p>
      <w:r>
        <w:t>Dem Verfahrensausgang entsprechend wird der Beschwerdeführer kostenpflichtig ( Art. 66 Abs. 1 und Art. 65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