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116/2010 vom 17. Mai 2010</w:t>
      </w:r>
    </w:p>
    <w:p>
      <w:r>
        <w:t>Bundesgericht, 2010-05-17, FR</w:t>
      </w:r>
    </w:p>
    <w:p>
      <w:r>
        <w:rPr>
          <w:b/>
        </w:rPr>
        <w:t xml:space="preserve">Quelle: </w:t>
      </w:r>
      <w:r>
        <w:t>https://mcp.opencaselaw.ch/entscheid/bger_1C_116_2010</w:t>
      </w:r>
    </w:p>
    <w:p>
      <w:r>
        <w:t>FR: TF 1C 116/2010 du 17 mai 2010</w:t>
      </w:r>
    </w:p>
    <w:p>
      <w:r>
        <w:t>IT: TF 1C 116/2010 del 17 maggio 2010</w:t>
      </w:r>
    </w:p>
    <w:p>
      <w:pPr>
        <w:pStyle w:val="Heading2"/>
      </w:pPr>
      <w:r>
        <w:t>Regeste</w:t>
      </w:r>
    </w:p>
    <w:p>
      <w:r>
        <w:t>retrait du permis de conduire, restitution de l'effet suspensif | Construction des routes et circulation routière</w:t>
      </w:r>
    </w:p>
    <w:p>
      <w:pPr>
        <w:pStyle w:val="Heading2"/>
      </w:pPr>
      <w:r>
        <w:t>Erwägungen</w:t>
      </w:r>
    </w:p>
    <w:p>
      <w:r>
        <w:rPr>
          <w:b/>
        </w:rPr>
        <w:t>E. 1</w:t>
      </w:r>
    </w:p>
    <w:p>
      <w:r>
        <w:t>Le Tribunal fédéral examine d'office la recevabilité des recours qui lui sont soumis ( ATF 135 III 329 consid. 1 p. 331).</w:t>
      </w:r>
    </w:p>
    <w:p>
      <w:r>
        <w:rPr>
          <w:b/>
        </w:rPr>
        <w:t>E. 1.1</w:t>
      </w:r>
    </w:p>
    <w:p>
      <w:r>
        <w:t>Dirigé contre une décision prise en dernière instance cantonale ( art. 86 al. 1 let . d LTF) dans le domaine des mesures administratives de retrait de permis de conduire ( art. 82 let. a LTF ), le recours est en principe recevable comme recours en matière de droit public selon les art. 82 ss LTF , aucune des exceptions mentionnées à l' art. 83 LTF n'étant réalisée. La recourante est particulièrement touchée par la décision attaquée, qui confirme le refus de la restitution de l'effet suspensif à son recours interjeté le 30 juillet 2009 et donc le refus de la restitution de son permis de conduire pendant la durée de la procédure; elle a un intérêt digne de protection à son annulation. Ainsi, elle a qualité pour recourir au sens de l' art. 89 al. 1 LTF .</w:t>
      </w:r>
    </w:p>
    <w:p>
      <w:r>
        <w:rPr>
          <w:b/>
        </w:rPr>
        <w:t>E. 1.2</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D'après la jurisprudence, un préjudice est irréparable au sens de l' art. 93 al. 1 let. a LTF , lorsqu'il ne peut pas être réparé ultérieurement par une décision finale favorable au recourant ( ATF 134 III 188 consid. 2.1 p. 190 et les références). En l'espèce, le recours est dirigé contre un arrêt de la Présidente du Tribunal administratif qui rejette une requête en restitution de l'effet suspensif. L'arrêt attaqué ne met par conséquent pas fin à la procédure administrative et revêt un caractère incident. Dans un tel cas, le recours n'est ouvert que si l'une des deux hypothèses de l' art. 93 LTF est réalisée. L'hypothèse de l' art. 93 al. 1 let. b LTF n'entre manifestement pas en considération, une admission du présent recours n'étant pas de nature à conduire immédiatement à une décision finale qui permettrait d'éviter une procédure probatoire longue et coûteuse. Quant au préjudice irréparable, la recourante allègue que la décision litigieuse, qui refuse de lui restituer l'effet suspensif, lui cause un préjudice irréparable, car son employeur a attesté que si elle ne pouvait pas faire usage de son véhicule, nécessaire à l'exercice de sa profession de courtière en immobilier, elle serait licenciée. La question de savoir s'il y a préjudice irréparable peut demeurer indécise, dans la mesure où il découle des considérants suivants que le recours doit être rejeté sur le fond.</w:t>
      </w:r>
    </w:p>
    <w:p>
      <w:r>
        <w:rPr>
          <w:b/>
        </w:rPr>
        <w:t>E. 1.3</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261s).</w:t>
      </w:r>
    </w:p>
    <w:p>
      <w:r>
        <w:rPr>
          <w:b/>
        </w:rPr>
        <w:t>E. 2</w:t>
      </w:r>
    </w:p>
    <w:p>
      <w:r>
        <w:t>Dans un grief qu'il convient d'examiner en premier lieu, la recourante estime que le Tribunal administratif a fait preuve d'arbitraire dans l'établissement des faits et dans l'appréciation des preuves.</w:t>
      </w:r>
    </w:p>
    <w:p>
      <w:r>
        <w:rPr>
          <w:b/>
        </w:rPr>
        <w:t>E. 2.1</w:t>
      </w:r>
    </w:p>
    <w:p>
      <w:r>
        <w:t>En principe, le Tribunal fédéral statue sur la base des faits établis par l'autorité précédente ( art. 105 al. 1 LTF ). Il ne peut s'en écarter que si les faits ont été établis de façon manifestement inexacte ou en violation du droit au sens de l' art. 95 LTF ( art. 105 al. 2 LTF ). Dans le cadre d'un recours dirigé contre une mesure provisionnelle, le recourant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limité, pratiquement, à l'arbitraire (cf. ATF 133 III 393 consid. 7.1 p. 398).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135 V 2 consid. 1.3 p. 4; 134 I 263 consid. 3.1 p. 266; 132 I 13 consid. 5.1 p. 17; 131 I 217 consid. 2.1 p. 219, 57 consid. 2 p. 61; 129 I 173 consid. 3.1 p. 178).</w:t>
      </w:r>
    </w:p>
    <w:p>
      <w:r>
        <w:rPr>
          <w:b/>
        </w:rPr>
        <w:t>E. 2.2</w:t>
      </w:r>
    </w:p>
    <w:p>
      <w:r>
        <w:t>En l'espèce, la recourante reproche à la Présidente du Tribunal administratif de ne pas avoir pris en compte l'attestation de son employeur, laquelle précise qu'elle sera licenciée dans le cas où elle ne peut faire usage de son véhicule dans l'exercice de sa profession pour une durée indéterminée. Elle lui fait également grief de ne pas avoir retenu le fait qu'une demande de révision était pendante devant le Tribunal administratif contre la décision du 27 mai 2008 et que, dès lors, la décision de l'OCAN du 12 mai 2008 pouvait être mise à néant; cela aurait pour conséquence de rendre sans objet la seconde décision de retrait du 23 juin 2009. Ces critiques sont vaines, dans la mesure où tant l'attestation de l'employeur que la procédure de révision en cours contre la décision du 27 mai 2008, ne sont pas susceptibles d'avoir une influence déterminante sur l'issue de la procédure: vu le raisonnement qui suit, une éventuelle correction ne permettrait pas de trancher différemment la question de la restitution de l'effet suspensif. Ce grief doit donc être écarté.</w:t>
      </w:r>
    </w:p>
    <w:p>
      <w:r>
        <w:rPr>
          <w:b/>
        </w:rPr>
        <w:t>E. 3</w:t>
      </w:r>
    </w:p>
    <w:p>
      <w:r>
        <w:t>La recourante prétend ensuite qu'en refusant de restituer l'effet suspensif, la Présidente du Tribunal administratif a violé le principe de la proportionnalité ( art. 5 al. 2 Cst. ). Elle soutient qu'aucun intérêt public prépondérant ne prédominerait l'intérêt personnel de l'intéressée à pouvoir exercer sa profession de courtière. Le principe de la proportionnalité figurant à l' art. 5 al. 2 Cst. n'est pas un droit fondamental, mais simplement un principe constitutionnel. Comme le recours est dirigé, en l'espèce, contre une mesure provisionnelle, seule peut être invoquée la violation de droits fondamentaux et il n'est pas possible d'invoquer le principe de la proportionnalité directement et indépendamment d'un droit fondamental (cf. ATF 134 I 153 consid. 4.1 p. 156 s. et les références; arrêts 2C_81/2008 du 21 novembre 2008, consid. 5.1; 2C_444/2007 du 4 avril 2008 consid. 2.2). Il est dès lors douteux que ce grief soit recevable. Peu importe au demeurant, puisque la violation du principe de la proportionnalité doit être niée pour les motifs suivants. Dans la décision du 18 septembre 2009, la Commission avait rejeté la demande d'effet suspensif, après avoir opéré une pesée des intérêts entre ceux de la recourante et ceux de la collectivité à une application immédiate de cette décision. Elle avait considéré que, vu les antécédents de la recourante (sept retraits de permis et deux avertissements en 13 ans), celle-ci représentait un danger sérieux pour les autres usagers de la route et qu'en attendant l'issue du litige, elle devait rester à l'écart de la circulation. Dans ces circonstances, le potentiel licenciement de la recourante et la demande de révision de la décision du 27 mai 2008, pendante devant le Tribunal administratif, ne sauraient prévaloir sur l'intérêt public à la sécurité routière. Le grief est donc mal fondé. Au demeurant, la Présidente du Tribunal administratif a retenu à juste titre que rendre le permis de conduire en restituant l'effet suspensif retiré par l'OCAN, dans le cadre d'un recours contre une demande de réexamen d'une décision en force d'une autorité de recours qui a refusé une telle restitution, reviendrait à compromettre gravement la sécurité du droit et à accorder à la recourante à titre provisoire ce qu'elle cherche à obtenir sur le fond.</w:t>
      </w:r>
    </w:p>
    <w:p>
      <w:r>
        <w:rPr>
          <w:b/>
        </w:rPr>
        <w:t>E. 4</w:t>
      </w:r>
    </w:p>
    <w:p>
      <w:r>
        <w:t>Il s'ensuit que le recours doit être rejeté, dans la mesure de sa recevabilité.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