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1C_115/2021 vom 4. März 2022</w:t>
      </w:r>
    </w:p>
    <w:p>
      <w:r>
        <w:t>Bundesgericht, 2022-03-04, DE</w:t>
      </w:r>
    </w:p>
    <w:p>
      <w:r>
        <w:rPr>
          <w:b/>
        </w:rPr>
        <w:t xml:space="preserve">Quelle: </w:t>
      </w:r>
      <w:r>
        <w:t>https://mcp.opencaselaw.ch/entscheid/bger_1C_115_2021</w:t>
      </w:r>
    </w:p>
    <w:p>
      <w:r>
        <w:t>FR: TF 1C_115/2021 du 4 mars 2022</w:t>
      </w:r>
    </w:p>
    <w:p>
      <w:r>
        <w:t>IT: TF 1C_115/2021 del 4 marzo 2022</w:t>
      </w:r>
    </w:p>
    <w:p>
      <w:pPr>
        <w:pStyle w:val="Heading2"/>
      </w:pPr>
      <w:r>
        <w:t>Erwägungen</w:t>
      </w:r>
    </w:p>
    <w:p>
      <w:r>
        <w:rPr>
          <w:b/>
        </w:rPr>
        <w:t>E. 1.1</w:t>
      </w:r>
    </w:p>
    <w:p>
      <w:r>
        <w:t>Beim angefochtenen Urteil handelt es sich um einen kantonal letztinstanzlichen Entscheid über die Baubewilligung für eine Mobilfunkanlage. Dagegen steht die Beschwerde in öffentlich-rechtlichen Angelegenheiten zur Verfügung ( Art. 82 ff. BGG ). Für die subsidiäre Verfassungsbeschwerde bleibt kein Raum ( Art. 113 BGG ).</w:t>
      </w:r>
    </w:p>
    <w:p>
      <w:r>
        <w:rPr>
          <w:b/>
        </w:rPr>
        <w:t>E. 1.2</w:t>
      </w:r>
    </w:p>
    <w:p>
      <w:r>
        <w:t>Die Beschwerdeführer wohnen innerhalb des praxisgemäss berechneten Einspracheradius oder besitzen in diesem Umkreis Grundeigentum; sie sind daher vom umstrittenen Vorhaben besonders berührt ( BGE 128 II 168 E. 2). Sie sind nach Art. 89 Abs. 1 BGG zur Beschwerde berechtigt.</w:t>
      </w:r>
    </w:p>
    <w:p>
      <w:r>
        <w:rPr>
          <w:b/>
        </w:rPr>
        <w:t>E. 1.3.1</w:t>
      </w:r>
    </w:p>
    <w:p>
      <w:r>
        <w:t>Die Beschwerde ist gemäss Art. 42 Abs. 2 BGG hinreichend zu begründen, andernfalls wird darauf nicht eingetreten.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zum Ganzen: Urteil 4A_24/2021 vom 24. Juni 2021 E. 2).</w:t>
      </w:r>
    </w:p>
    <w:p>
      <w:r>
        <w:rPr>
          <w:b/>
        </w:rPr>
        <w:t>E. 1.3.2</w:t>
      </w:r>
    </w:p>
    <w:p>
      <w:r>
        <w:t>Das Obergericht erwog, die bei ihm erhobene Beschwerde genüge den Begründungsanforderungen grundsätzlich nicht. Die Beschwerdeschrift sei, abgesehen von wenigen Ergänzungen, eine wörtliche Kopie der Rekurseingabe vom 23. Februar 2018 und der Stellungnahme vom 26. April 2019. Das Obergericht ging deshalb inhaltlich nur auf einige Punkte ein. Die Rüge, dass sich das Departement in seinem Rekursentscheid nicht mit der Situation der brütenden Vögel im Bereich Glatt auseinandergesetzt und damit den Anspruch auf rechtliches Gehör ( Art. 29 Abs. 2 BV ) verletzt habe, erachtete es als begründet. Es heilte den Verfahrensmangel, indem es die Rüge selbst behandelte, und berücksichtigte ihn bei den Kosten- und Entschädigungsfolgen. Die weiteren Rügen, soweit es auf diese eintrat, erachtete es als unbegründet.</w:t>
      </w:r>
    </w:p>
    <w:p>
      <w:r>
        <w:rPr>
          <w:b/>
        </w:rPr>
        <w:t>E. 1.3.3</w:t>
      </w:r>
    </w:p>
    <w:p>
      <w:r>
        <w:t>Die dem Bundesgericht eingereichte Beschwerdeschrift stellt bis zu Rz. 23, abgesehen von völlig unbedeutenden Abweichungen, eine Kopie von Passagen aus der Beschwerde und der Replik aus dem vorinstanzlichen Verfahren dar. Sogar die Kritik, dass in den Bau- und Einspracheentscheiden auf das Vorbringen betreffend die brütenden Vögel nicht eingegangen worden sei, wird mit unverändertem Wortlaut wiederholt, obwohl das Obergericht den Vorwurf wie erwähnt als begründet erachtete und die Rüge deshalb inhaltlich behandelte. Wie das Bundesgericht bereits in BGE 134 II 244 E. 2.4.3 entschied, ist eine solche Art der Prozessführung rechtsmissbräuchlich, weshalb auf die Beschwerde insoweit nicht nur gestützt auf Art. 42 Abs. 2 BGG , sondern auch auf Abs. 7 dieser Bestimmung nicht einzutreten ist.</w:t>
      </w:r>
    </w:p>
    <w:p>
      <w:r>
        <w:rPr>
          <w:b/>
        </w:rPr>
        <w:t>E. 1.3.4</w:t>
      </w:r>
    </w:p>
    <w:p>
      <w:r>
        <w:t>Die Kritik in den Rz. 24 und 25, welche die Beschwerdeschrift abschliessen, genügt den Begründungsanforderungen ebensowenig. Die Beschwerdeführer bringen an diesen Stellen vor, dass die vielen umstrittenen Sachverhaltspunkte (Waldabstand, Gewässerabstand, Berechnung und Bestimmung der OMEN u.s.w.) einen Augenschein erfordert hätten und dass der angefochtene Entscheid, soweit damit auf die Beschwerde nicht eingetreten worden sei, Art. 29 BV und Art. 6 Ziff. 1 EMRK verletze. Eine hinreichend substanziierte Auseinandersetzung mit dem Urteil des Obergerichts, das darlegte, weshalb es keinen Augenschein durchführte und weshalb es auf die Beschwerde teilweise nicht eintrat, fehlt auch in dieser Hinsicht.</w:t>
      </w:r>
    </w:p>
    <w:p>
      <w:r>
        <w:rPr>
          <w:b/>
        </w:rPr>
        <w:t>E. 2</w:t>
      </w:r>
    </w:p>
    <w:p>
      <w:r>
        <w:t>Auf die Beschwerde ist aus diesen Gründen nicht einzutreten.</w:t>
      </w:r>
    </w:p>
    <w:p>
      <w:r>
        <w:t>Bei diesem Verfahrensausgang sind die Gerichtskosten grundsätzlich den Beschwerdeführern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Das ist namentlich dann gerechtfertigt, wenn die Aussichtslosigkeit des eingelegten Rechtsmittels schon bei Beachtung elementarster Sorgfalt festgestellt werden kann (Urteile 1B_47/2019 vom 20. Februar 2019 E. 4; 9C_644/2016 vom 31. Oktober 2016 E. 3 mit Hinweisen). Diese Voraussetzung trifft hier zu. Der Rechtsvertreter der Beschwerdeführer trat bereits im Verfahren, das in den erwähnten BGE 134 II 244 mündete, als Rechtsvertreter auf. Es musste ihm also bewusst sein, dass das Einreichen einer Beschwerdeschrift, die im Wesentlichen eine Kopie von Eingaben aus dem vorinstanzlichen Verfahren darstellt, rechtsmissbräuchlich ist. Hinzu kommt, dass das Obergericht ihn sogar nochmals ausdrücklich auf die Unzulässigkeit seines Vorgehens hingewiesen hat. Die Gerichtskosten sind deshalb ihm aufzuerlegen. Die anwaltlich vertretene Beschwerdegegnerin hat zudem Anspruch auf eine angemessene Parteientschädigung. Diese ist aus den erwähnten Gründen ebenfalls vom Rechtsvertreter der Beschwerdeführer zu bezahlen (Art. 68 Abs. 2 und 3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