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1C_114/2011 vom 8. Juni 2011</w:t>
      </w:r>
    </w:p>
    <w:p>
      <w:r>
        <w:t>Bundesgericht, 2011-06-08, FR</w:t>
      </w:r>
    </w:p>
    <w:p>
      <w:r>
        <w:rPr>
          <w:b/>
        </w:rPr>
        <w:t xml:space="preserve">Quelle: </w:t>
      </w:r>
      <w:r>
        <w:t>https://mcp.opencaselaw.ch/entscheid/bger_1C_114_2011</w:t>
      </w:r>
    </w:p>
    <w:p>
      <w:r>
        <w:t>FR: TF 1C_114/2011 du 8 juin 2011</w:t>
      </w:r>
    </w:p>
    <w:p>
      <w:r>
        <w:t>IT: TF 1C_114/2011 del 8 giugno 2011</w:t>
      </w:r>
    </w:p>
    <w:p>
      <w:pPr>
        <w:pStyle w:val="Heading2"/>
      </w:pPr>
      <w:r>
        <w:t>Erwägungen</w:t>
      </w:r>
    </w:p>
    <w:p>
      <w:r>
        <w:rPr>
          <w:b/>
        </w:rPr>
        <w:t>E. 1.1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La recourante a pris part à la procédure de recours devant le Tribunal cantonal. Elle est particulièrement touchée par l'arrêt attaqué confirmant l'ordre de démolition de son chalet de vente. Elle peut ainsi se prévaloir d'un intérêt personnel et digne de protection à l'annulation de l'arrêt attaqué. Elle a dès lors qualité pour agir au sens de l' art. 89 al. 1 LTF . Les autres conditions de recevabilité sont par ailleurs réunies, si bien qu'il y a lieu d'entrer en matière.</w:t>
      </w:r>
    </w:p>
    <w:p>
      <w:r>
        <w:rPr>
          <w:b/>
        </w:rPr>
        <w:t>E. 1.2</w:t>
      </w:r>
    </w:p>
    <w:p>
      <w:r>
        <w:t>Le mémoire de recours doit contenir les conclusions et les motifs à l'appui de celles-ci ( art. 42 al. 1 LTF ) sous peine d'irrecevabilité. Les conclusions doivent indiquer sur quels points la décision est attaquée et quelles sont les modifications demandées ( ATF 133 III 489 consid. 3.1 et les arrêts cités). Les motifs doivent exposer succinctement en quoi l'acte attaqué viole le droit ( art. 42 al. 2 LTF ). Pour satisfaire à ces exigences, le recourant doit discuter les motifs de la décision entreprise et indiquer précisément en quoi il estime que l'autorité précédente a méconnu le droit ( ATF 134 V 53 consid. 3.3 p. 60; 133 II 249 consid. 1.4.2 p. 254; 133 IV 286 consid. 1.4 p. 287).</w:t>
      </w:r>
    </w:p>
    <w:p>
      <w:r>
        <w:rPr>
          <w:b/>
        </w:rPr>
        <w:t>E. 1.3</w:t>
      </w:r>
    </w:p>
    <w:p>
      <w:r>
        <w:t>Lorsqu'un recours est manifestement infondé, l'arrêt est motivé sommairement et peut renvoyer partiellement ou entièrement à la décision attaquée ( art. 109 al. 2 let. a et al. 3 LTF ).</w:t>
      </w:r>
    </w:p>
    <w:p>
      <w:r>
        <w:rPr>
          <w:b/>
        </w:rPr>
        <w:t>E. 2</w:t>
      </w:r>
    </w:p>
    <w:p>
      <w:r>
        <w:t>Au début de son écriture, la recourante annonce qu'elle entend se plaindre d'un établissement inexact des faits au sens de l' art. 97 al. 1 LTF , mais elle ne précise pas de quels faits il s'agit. Ce grief ne satisfait pas aux exigences minimales de motivation de l' art. 42 al. 2 LTF et est donc irrecevable.</w:t>
      </w:r>
    </w:p>
    <w:p>
      <w:r>
        <w:rPr>
          <w:b/>
        </w:rPr>
        <w:t>E. 3</w:t>
      </w:r>
    </w:p>
    <w:p>
      <w:r>
        <w:t>La recourante prétend ensuite que son "installation mobile lui permettant de vendre des produits du terroir" n'est pas une construction ou une installation soumise à autorisation puisqu'elle est pourvue de roulettes et peut être déplacée. Elle se plaint d'une violation de l'égalité de traitement, d'une violation de l' art. 22 al. 1 LAT et d'une application arbitraire des art. 2 et 27 al. 1 LConstr/NE.</w:t>
      </w:r>
    </w:p>
    <w:p>
      <w:r>
        <w:rPr>
          <w:b/>
        </w:rPr>
        <w:t>E. 3.1</w:t>
      </w:r>
    </w:p>
    <w:p>
      <w:r>
        <w:t>Selon la jurisprudence, sont considérés comme des constructions ou installations au sens de l' 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 ATF 119 Ib 222 consid. 3a p. 227; voir aussi ATF 123 II 256 consid. 3 p. 259; 120 Ib 379 consid. 3c p. 383 s.). L'art. 2 LConstr/NE reprend cette définition (al. 1), tout en précisant que "sont notamment considérés comme des constructions ou des installations, les petites constructions telles que les baraques, les kiosques, les capites de vigne ainsi que les constructions provisoires" (al. 2 let. b).</w:t>
      </w:r>
    </w:p>
    <w:p>
      <w:r>
        <w:t>Sont assimilé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cas échéant, facilement démontables ( ATF 123 II 256 consid. 3 p. 259; Alexander Ruch, in Aemisegger/Kuttler/ Moor/Ruch, Commentaire de la LAT, 2010, n° 24 ad art. 22 LAT ; Zen-Ruffinen/Guy-Ecabert, Aménagement du territoire, construction, expropriation, 2001, p. 214 ss).</w:t>
      </w:r>
    </w:p>
    <w:p>
      <w:r>
        <w:t>L'assujettissement a ainsi été admis pour une roulotte de grandes dimensions destinée à jouer le rôle d'une maison de vacances ( ATF 100 Ib 482 consid. 4 p. 488), des clôtures et barrières hors de la zone à bâtir ( ATF 118 Ib 49 ), un jardin d'hiver, une véranda, une cabane de jardin ou un couvert servant de garage (arrêt non publié 1A.92/1993 consid. 2a et les références). Il en va de même pour des aménagements extérieurs tels que des balustrades préfabriquées, des colonnes en pierre ou une terrasse (arrêt 1A.156/2004 du 5 novembre 2004 consid. 3.3; cf. également les nombreux exemples cités par Waldmann/ Hänni, Raumplanungsgesetz, Handkommentar, 2006, n° 15 ad art. 22 LAT ; Alexander Ruch, op. cit., n° 24 ad art. 22 LAT ; Zen-Ruffinen/Guy-Ecabert, op. cit., p. 214 ss).</w:t>
      </w:r>
    </w:p>
    <w:p>
      <w:r>
        <w:rPr>
          <w:b/>
        </w:rPr>
        <w:t>E. 3.2</w:t>
      </w:r>
    </w:p>
    <w:p>
      <w:r>
        <w:t>En l'espèce, il n'est pas contesté que le chalet de vente litigieux, d'une surface d'environ 10 m2, est stationné à l'année dans le périmètre de La Vue-des-Alpes. Le Tribunal cantonal a considéré à juste titre qu'il était donc fait pour durer et était installé de manière permanente sur le parking dont il modifie l'aspect. Il a relevé en outre que le caractère mobile ou non de l'ouvrage n'était pas en soi décisif, le dispositif mis en place ne permettant que de faciliter le déplacement sur le parking. Ainsi, le fait que le stand soit pourvu de roulettes et puisse être déplacé à loisirs importe peu, aussi longtemps que celui-ci est installé à demeure sur le site ou pour une certaine durée. Par ailleurs, le Tribunal cantonal a expressément distingué la situation de la recourante de celle des marchands ambulants qui démontent à la fin de la journée leurs installations, lesquelles n'ont donc pas d'emprise durable sur le sol. La recourante invoque par conséquent en vain une violation de l'égalité de traitement.</w:t>
      </w:r>
    </w:p>
    <w:p>
      <w:r>
        <w:t>Pour le surplus, la recourante relève à nouveau le fait qu'à quelques occasions, certains commerçants n'ont pas démonté leurs échoppes en fin de journée. Elle ne discute pas les motifs avancés à cet égard dans l'arrêt attaqué. Le Tribunal cantonal s'est prononcé à satisfaction de droit sur ce grief. Il peut être renvoyé sur ce point à l'arrêt cantonal ( art. 109 al. 3 LTF ).</w:t>
      </w:r>
    </w:p>
    <w:p>
      <w:r>
        <w:t>Le stand litigieux doit donc être considéré comme une construction au sens de l' art. 22 al. 1 LAT et être assujetti à autorisation. L'Etat de Neuchâtel n'entendant pas autoriser le stationnement durable de stands de vente sur le domaine public cantonal de La Vue-des-Alpes, c'est à bon droit que l'instance précédente a considéré que la commune de Fontaines pouvait exclure l'octroi du permis de construire.</w:t>
      </w:r>
    </w:p>
    <w:p>
      <w:r>
        <w:rPr>
          <w:b/>
        </w:rPr>
        <w:t>E. 4</w:t>
      </w:r>
    </w:p>
    <w:p>
      <w:r>
        <w:t>La recourante rappelle le fait que pendant treize ans on ne lui a jamais demandé de permis de construction et fait valoir que l'ordre de remise en état des lieux est arbitraire et contraire aux principes de la bonne foi ( art. 5 al. 3 Cst. ) et de la proportionnalité ( art. 5 al. 2 Cst. ).</w:t>
      </w:r>
    </w:p>
    <w:p>
      <w:r>
        <w:rPr>
          <w:b/>
        </w:rPr>
        <w:t>E. 4.1</w:t>
      </w:r>
    </w:p>
    <w:p>
      <w:r>
        <w:t>Conformément à l' art. 46 al. 1 let . d LConstr/NE, lorsqu'une construction ou une installation n'est pas conforme aux prescriptions de la LConstr/NE ou aux autorisations délivrées, les instances compétentes peuvent ordonner la remise en état, l'entretien, la suppression ou la démolition.</w:t>
      </w:r>
    </w:p>
    <w:p>
      <w:r>
        <w:t>Selon la jurisprudence, l'ordre de démolir une construction édifiée sans droit et pour laquelle une autorisation ne peut être accordée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p. 35 ; 123 II 248 consid. 3a/bb p. 252; 111 Ib 213 consid. 6b p. 224 s.; 102 Ib 64 consid. 4 p. 69). Même un constructeur qui n'est pas de bonne foi peut invoquer le principe de la proportionnalité. Toutefois, celui qui place l'autorité devant un fait accompli doit s'attendre à ce que celle-ci se préoccupe plus de rétablir une situation conforme au droit que d'éviter les inconvénients qui en découlent pour lui ( ATF 123 II 248 consid. 4a p. 255; 111 Ib 213 consid. 6b p. 224 et la jurisprudence citée).</w:t>
      </w:r>
    </w:p>
    <w:p>
      <w:r>
        <w:rPr>
          <w:b/>
        </w:rPr>
        <w:t>E. 4.2</w:t>
      </w:r>
    </w:p>
    <w:p>
      <w:r>
        <w:t>En l'espèce, il est vrai que l'autorité communale a toléré durant treize ans le stationnement du stand dans l'angle du restaurant sis sur une parcelle propriété privée de l'Etat de Neuchâtel. Cette circonstance n'est toutefois d'aucune utilité à la recourante, puisqu'il n'est plus question de maintenir le stand à cet endroit, soit sur le domaine privé de l'Etat, mais d'en examiner l'implantation sur le domaine public cantonal. Pour le surplus, le Tribunal cantonal a exposé différents motifs (demande croissante de personnes souhaitant installer des stands de vente sur le domaine public, garantie d'accès aux véhicules d'entretien des routes [déneigement], de secours et aux voitures de tourisme) expliquant en quoi l'ordre d'enlever le stand du domaine public cantonal est conforme au principe de la bonne foi. Sur ce point également, il convient de renvoyer la recourante, qui ne remet pas en cause l'argumentation pertinente développée par le Tribunal cantonal, aux considérants de l'arrêt attaqué ( art. 109 al. 3 LTF ).</w:t>
      </w:r>
    </w:p>
    <w:p>
      <w:r>
        <w:t>Les arguments écologiques et touristiques que fait valoir la recourante ne sont pas en mesure d'affaiblir ce raisonnement. Ce d'autant moins que l'intéressée peut solliciter une autorisation d'exploiter un stand dans la zone nouvellement réservée à cet effet sur le domaine public cantonal, aux conditions fixées par les autorités, à savoir que l'emplacement mis à sa disposition soit libéré en fin de journée.</w:t>
      </w:r>
    </w:p>
    <w:p>
      <w:r>
        <w:rPr>
          <w:b/>
        </w:rPr>
        <w:t>E. 5</w:t>
      </w:r>
    </w:p>
    <w:p>
      <w:r>
        <w:t>Il s'ensuit que le recours, manifestement infondé, doit être rejeté, dans la mesure de sa recevabilité. Cette issue, d'emblée prévisible, implique le rejet de la demande d'assistance judiciaire ( art. 64 al. 1 LTF ). Les frais judiciaires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