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1C_113/2015 vom 18. September 2015</w:t>
      </w:r>
    </w:p>
    <w:p>
      <w:r>
        <w:t>Bundesgericht, 2015-09-18, FR</w:t>
      </w:r>
    </w:p>
    <w:p>
      <w:r>
        <w:rPr>
          <w:b/>
        </w:rPr>
        <w:t xml:space="preserve">Quelle: </w:t>
      </w:r>
      <w:r>
        <w:t>https://mcp.opencaselaw.ch/entscheid/bger_1C_113_2015</w:t>
      </w:r>
    </w:p>
    <w:p>
      <w:r>
        <w:t>FR: TF 1C_113/2015 du 18 septembre 2015</w:t>
      </w:r>
    </w:p>
    <w:p>
      <w:r>
        <w:t>IT: TF 1C_113/2015 del 18 settembre 2015</w:t>
      </w:r>
    </w:p>
    <w:p>
      <w:pPr>
        <w:pStyle w:val="Heading2"/>
      </w:pPr>
      <w:r>
        <w:t>Erwägungen</w:t>
      </w:r>
    </w:p>
    <w:p>
      <w:r>
        <w:rPr>
          <w:b/>
        </w:rPr>
        <w:t>E. 1</w:t>
      </w:r>
    </w:p>
    <w:p>
      <w:r>
        <w:t>Le Tribunal fédéral examine d'office et librement la recevabilité des recours qui lui sont soumis ( art. 29 al. 1 LTF ).</w:t>
      </w:r>
    </w:p>
    <w:p>
      <w:r>
        <w:rPr>
          <w:b/>
        </w:rPr>
        <w:t>E. 1.1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La recourante est directement touchée par le prononcé d'irrecevabilité de l'arrêt attaqué et a un intérêt digne de protection à en obtenir l'annulation. Elle a dès lors qualité pour recourir au sens de l' art. 89 al. 1 LTF .</w:t>
      </w:r>
    </w:p>
    <w:p>
      <w:r>
        <w:rPr>
          <w:b/>
        </w:rPr>
        <w:t>E. 1.2</w:t>
      </w:r>
    </w:p>
    <w:p>
      <w:r>
        <w:t>Les juges cantonaux ayant refusé d'entrer en matière sur le recours, seule la question de la recevabilité du recours cantonal peut donc être portée devant le Tribunal fédéral qui n'a, à ce stade, pas à examiner le fond de la contestation ( ATF 133 II 409 consid. 1.4 p. 414; 133 III 489 consid. 3.1). En cas d'admission du recours, la cause devrait être renvoyée au Tribunal cantonal pour qu'il entre en matière sur le recours et statue au fond. En conséquence, seules sont admissibles les conclusions tendant à l'annulation de l'arrêt attaqué, à l'exclusion de celles sur le fond, et des griefs à leur appui, qui sont irrecevables (cf. ATF 133 IV 119 consid. 6.3 p. 121). Les griefs portant sur la violation des art. 16 et 17 Cst. , 17 de la Constitution du canton de Vaud du 14 avril 2003 [RSV 101.01] et 10 CEDH sont donc irrecevables.</w:t>
      </w:r>
    </w:p>
    <w:p>
      <w:r>
        <w:rPr>
          <w:b/>
        </w:rPr>
        <w:t>E. 1.3</w:t>
      </w:r>
    </w:p>
    <w:p>
      <w:r>
        <w:t>Les autres conditions de recevabilité étant par ailleurs réunies, la voie du recours en matière de droit public est ouverte, ce qui entraîne l'irrecevabilité du recours constitutionnel subsidiaire ( art. 113 LTF ).</w:t>
      </w:r>
    </w:p>
    <w:p>
      <w:r>
        <w:rPr>
          <w:b/>
        </w:rPr>
        <w:t>E. 2</w:t>
      </w:r>
    </w:p>
    <w:p>
      <w:r>
        <w:t>La recourante reproche au Tribunal cantonal d'avoir considéré que la lettre du 8 octobre 2014 ne constituait pas une décision. Elle se plaint d'une application arbitraire de l' art. 3 al. 1 let. b LPA /VD.</w:t>
      </w:r>
    </w:p>
    <w:p>
      <w:r>
        <w:rPr>
          <w:b/>
        </w:rPr>
        <w:t>E. 2.1</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140 III 167 consid. 2.1 p. 168; 138 I 305 consid. 4.3 p. 319), ce que les recourants doivent démontrer en vertu de l' art. 106 al. 2 LTF ( ATF 136 II 489 consid. 2.8 p. 494).</w:t>
      </w:r>
    </w:p>
    <w:p>
      <w:r>
        <w:rPr>
          <w:b/>
        </w:rPr>
        <w:t>E. 2.2</w:t>
      </w:r>
    </w:p>
    <w:p>
      <w:r>
        <w:t>A teneur de l' art. 3 al. 1 LPA /VD,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 Cette disposition définit la notion de décision de la même manière que l'art. 5 al. 1 de la loi fédérale sur la procédure administrative (PA; RS 172.021). La notion de décision vise donc tout acte individuel et concret d'une autorité, qui règle de manière unilatérale et contraignante des droits ou des obligations ( ATF 135 II 38 consid. 4.3 p. 45). En d'autres termes, constitue une décision un acte étatique qui touche la situation juridique de l'intéressé, l'astreignant à faire, à s'abstenir ou à tolérer quelque chose, ou qui règle d'une autre manière obligatoire ses rapports avec l'Etat ( ATF 135 II 22 consid. 1.2 p. 24).</w:t>
      </w:r>
    </w:p>
    <w:p>
      <w:r>
        <w:t>En revanche, de simples déclarations, comme des opinions, des communications, des prises de position, des recommandations et des renseignements n'entrent pas dans la catégorie des décisions, faute de caractère juridique contraignant (arrêt 8C_220/2011 consid. 4.1.2 in SJ 2013 I 18).</w:t>
      </w:r>
    </w:p>
    <w:p>
      <w:r>
        <w:rPr>
          <w:b/>
        </w:rPr>
        <w:t>E. 2.3</w:t>
      </w:r>
    </w:p>
    <w:p>
      <w:r>
        <w:t>En l'espèce, le Tribunal cantonal a considéré en substance que la lettre du 8 octobre 2014 constituait un renseignement au sujet du régime juridique applicable à la distribution de tracts publicitaires sur le domaine public en ville de Vevey et non pas une demande d'autorisation; la lettre litigieuse n'avait pas pour effet de créer, modifier ou supprimer un rapport de droit entre l'administration et le citoyen, ni même de constater formellement l'existence, l'inexistence ou l'étendue d'un tel droit; elle ne faisait que renseigner la recourante sur une pratique administrative, en réponse à une demande d'information. L'instance précédente a ainsi jugé que la lettre n'était pas une décision au sens de l' art. 3 LPA /VD.</w:t>
      </w:r>
    </w:p>
    <w:p>
      <w:r>
        <w:t>La cour cantonale perd cependant de vue qu'il ressort expressément de la lettre litigieuse que la recourante ainsi que "les membres de l'association "Pour l'Egalité animale"</w:t>
      </w:r>
    </w:p>
    <w:p>
      <w:r>
        <w:t>doivent obtenir une autorisation de distribution de flyers sur le domaine public moyennant une demande préalable". La lettre du 8 octobre 2014 constate ainsi formellement l'existence d'une obligation, à savoir l'obligation de demander une autorisation de distribution de tracts sur le domaine public. Le courrier en question représente donc une mesure prise par une autorité dans un cas d'espèce, en application du droit public, et ayant pour objet de constater l'existence d'une obligation, au sens de l' art. 3 al. 1 let. b LPA /VD. Quant à la lettre de la recourante du 29 septembre 2014, elle doit être qualifiée de demande de constatation de non-soumission à autorisation. La recourante avait en effet exposé avoir besoin de voir confirmé par l'autorité son droit de distribuer des tracts à but idéal sur le domaine public, afin d'être sûre de ne pas recevoir d'amende pour cette activité.</w:t>
      </w:r>
    </w:p>
    <w:p>
      <w:r>
        <w:t>Contrairement à ce qu'a retenu la cour cantonale, la lettre litigieuse n'a pas eu pour seul objet de renseigner la recourante sur une pratique administrative; elle lui a imposé l'obligation de déposer une demande d'autorisation. Le courrier du 8 octobre 2014 consacre ainsi un rapport juridique obligatoire et contraignant entre l'autorité et l'administrée. La qualification de renseignement ou d'information opérée par le Tribunal cantonal est donc en contradiction manifeste avec la situation effective puisqu'elle fait fi de l'obligation de demande d'autorisation contenue dans le courrier litigieux. L'arrêt attaqué viole par conséquent le droit cantonal de façon insoutenable en tant qu'il déclare le recours de la recourante irrecevable, au motif que la lettre du 8 octobre 2014 n'est pas une décision sujette à recours.</w:t>
      </w:r>
    </w:p>
    <w:p>
      <w:r>
        <w:rPr>
          <w:b/>
        </w:rPr>
        <w:t>E. 3</w:t>
      </w:r>
    </w:p>
    <w:p>
      <w:r>
        <w:t>Il s'ensuit que le recours doit être admis et l'arrêt attaqué annulé. La cause est renvoyée au Tribunal cantonal afin qu'il entre en matière sur le recours déposé par la recourante le 7 novembre 2014 et traite des griefs de fond. Il appartiendra aussi à la cour cantonale de statuer sur le sort des frais et dépens cantonaux.</w:t>
      </w:r>
    </w:p>
    <w:p>
      <w:r>
        <w:t>Les frais judiciaires de la procédure fédérale ne pouvant être mis à la charge de l'Association de communes Sécurité Riviera en vertu de l' art. 66 al. 4 LTF , il y a lieu de renoncer à en percevoir.</w:t>
      </w:r>
    </w:p>
    <w:p>
      <w:r>
        <w:t>La recourante étant représentée par une personne qui n'est pas avocat et qui a formulé un mémoire de recours adéquat, des dépens lui seront alloués, en application de l'art. 9 du règlement du 31 mars 2006 sur les dépens alloués à la partie adverse et sur l'indemnité pour la représentation d'office dans les causes portées devant le Tribunal fédéral (RS 173.110.210.3; cf. arrêts 2C_546/2013 du 5 décembre 2013 consid. 5). Ceux-ci seront mis à la charge de l'Association de communes Sécurité Riviera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