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112/2023 vom 15. Dezember 2023</w:t>
      </w:r>
    </w:p>
    <w:p>
      <w:r>
        <w:t>Bundesgericht, 2023-12-15, FR</w:t>
      </w:r>
    </w:p>
    <w:p>
      <w:r>
        <w:rPr>
          <w:b/>
        </w:rPr>
        <w:t xml:space="preserve">Quelle: </w:t>
      </w:r>
      <w:r>
        <w:t>https://mcp.opencaselaw.ch/entscheid/bger_1C_112_2023</w:t>
      </w:r>
    </w:p>
    <w:p>
      <w:r>
        <w:t>FR: TF 1C 112/2023 du 15 décembre 2023</w:t>
      </w:r>
    </w:p>
    <w:p>
      <w:r>
        <w:t>IT: TF 1C 112/2023 del 15 dicembre 2023</w:t>
      </w:r>
    </w:p>
    <w:p>
      <w:pPr>
        <w:pStyle w:val="Heading2"/>
      </w:pPr>
      <w:r>
        <w:t>Regeste</w:t>
      </w:r>
    </w:p>
    <w:p>
      <w:r>
        <w:t>Remise en état | Aménagement du territoire et droit public des constructions</w:t>
      </w:r>
    </w:p>
    <w:p>
      <w:pPr>
        <w:pStyle w:val="Heading2"/>
      </w:pPr>
      <w:r>
        <w:t>Erwägungen</w:t>
      </w:r>
    </w:p>
    <w:p>
      <w:r>
        <w:rPr>
          <w:b/>
        </w:rPr>
        <w:t>E. 1</w:t>
      </w:r>
    </w:p>
    <w:p>
      <w:r>
        <w:t>En tant qu'il est dirigé contre une décision finale ( art. 90 LTF ) prise en dernière instance cantonale ( art. 86 al. 1 let . d LTF) dans le domaine du droit public de la police des constructions, le recours est en principe recevable comme recours en matière de droit public selon les art. 82 ss LTF , aucune des exceptions prévues à l' art. 83 LTF n'étant réalisée. Les recourants ont pris part à la procédure devant la Cour de justice; ils sont particulièrement atteints par l'arrêt attaqué, celui-ci confirmant l'ordre de remise en état des lieux, et disposent d'un intérêt digne de protection à sa modification ou à son annulation. Ils ont ainsi la qualité pour recourir au sens de l' art. 89 al. 1 LTF . Les autres conditions de recevabilité sont au surplus réunies, si bien qu'il convient d'entrer en matière.</w:t>
      </w:r>
    </w:p>
    <w:p>
      <w:r>
        <w:rPr>
          <w:b/>
        </w:rPr>
        <w:t>E. 2</w:t>
      </w:r>
    </w:p>
    <w:p>
      <w:r>
        <w:t>Les recourants se prévalent d'une violation de l'art. 22 de la loi fédérale sur l'aménagement du territoire du 22 juin 1979 (LAT; RS 700); ils estiment que les serres-tunnels, la cour, les parkings et le chemin litigieux ne sont pas des installations fixes et ne seraient pas assujettis à une autorisation de construire.</w:t>
      </w:r>
    </w:p>
    <w:p>
      <w:r>
        <w:rPr>
          <w:b/>
        </w:rPr>
        <w:t>E. 2.1</w:t>
      </w:r>
    </w:p>
    <w:p>
      <w:r>
        <w:t>L' art. 22 al. 1 LAT prévoit qu'aucune construction ou installation ne peut être créée ou transformée sans autorisation de l'autorité compétente. Si la notion de construction ou d'installation n'est pas définie dans la loi, elle a fait l'objet de nombreuses précisions jurisprudentielles. Sont ainsi considérés comme des constructions ou installations au sens de l' art. 22 al. 1 LAT tous les aménagements durables et fixes créés par la main de l'homme, exerçant une incidence sur l'affectation du sol parce qu'ils modifient sensiblement l'espace extérieur, chargent l'infrastructure d'équipement ou sont susceptibles de porter atteinte à l'environnement ( ATF 139 II 134 consid. 5.2; 113 Ib 314 consid. 2b; plus récemment, arrêt 1C_79/2022 du 30 septembre 2022 consid. 5.1). La procédure d'autorisation doit permettre à l'autorité de contrôler, avant la réalisation du projet, sa conformité aux plans d'affectation et aux réglementations applicables ( ATF 139 II 134 consid. 5.2; 123 II 256 consid. 3). Pour déterminer si l'aménagement prévu est soumis à cette procédure, il faut évaluer si, en général, d'après le cours ordinaire des choses, il entraînera des conséquences telles qu'il existe un in-térêt de la collectivité ou des voisins à un contrôle préalable ( ATF 139 II 134 consid. 5.2; 123 II 256 consid. 3; arrêt 1C_79/2022 précité consid. 5.1.2).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 ATF 139 II 134 consid. 5.2; 123 II 256 consid. 3; arrêt 1C_79/2022 précité consid. 5.1.1). L'assujettissement à une autorisation de construire a ainsi été admis pour une fontaine, un bac à sable, une amphore romaine, un abri en bois et un banc utilisés de manière fixe depuis un certain temps (arrêt 1C_79/2022 précité consid. 5), un local de rangement (arrêt 1C_50/2020 du 8 octobre 2020 consid. 6), une inscription réalisée sur un mur de vignes au moyen d'un nettoyage par sablage (arrêt 1C_618/2014 du 29 juillet 2015 consid. 3.2), des clôtures et barrières hors de la zone à bâtir ( ATF 118 Ib 49 consid. 2), une serre (arrêt 1C_32/2008 du 21 août 2008 consid. 3), un jardin d'hiver, une véranda, une cabane de jardin et un couvert servant de garage (arrêt 1A.92/1993 du 2 février 1994 consid. 2a et les références) ou encore pour des nattes en géotextile couvrant des talus depuis plus de deux ans (arrêt 1C_107/2011 du 5 septembre 2011 consid. 3.3; cf. également les nombreux exemples cités par ALEXANDER RUCH, in Commentaire pratique LAT: Autorisation de construire, protection juridique et procédure, 2020, n° 33 ad art. 22 LAT ). Il en va de même pour des aménagements extérieurs tels que des balustrades préfabriquées, des colonnes en pierre ou une terrasse (arrêt 1A.156/2004 du 5 novembre 2004 consid. 3.3). Le Tribunal fédéral a également déjà jugé que des serres-tunnels installées de manière permanente étaient soumises à autorisation de construire (arrêt 1C_561/2012 du 4 octobre 2013 consid. 2.4.1).</w:t>
      </w:r>
    </w:p>
    <w:p>
      <w:r>
        <w:rPr>
          <w:b/>
        </w:rPr>
        <w:t>E. 2.2</w:t>
      </w:r>
    </w:p>
    <w:p>
      <w:r>
        <w:t>En l'espèce, il n'est pas contesté que les serres-tunnels sont installées depuis une dizaine d'années. Par conséquent et contrairement aux affirmations des recourants, il s'agit indéniablement d'éléments durablement fixés au sol, même si elles sont facilement démontables. En outre, il découle de la dimension de ces serres-tunnels (environ 18 m sur 10 m) qu'elles ont un impact visuel certain sur le paysage. S'agissant des parkings, de la cour et du chemin, il importe peu qu'en l'espèce, le revêtement soit semi-perméable. En effet, comme relevé par l'ARE, de tels aménagements modifient sensiblement l'espace extérieur et tombent par conséquent dans la notion de construction ou d'installation telle que prévue à l' art. 22 al. 1 LAT .</w:t>
      </w:r>
    </w:p>
    <w:p>
      <w:r>
        <w:rPr>
          <w:b/>
        </w:rPr>
        <w:t>E. 2.3</w:t>
      </w:r>
    </w:p>
    <w:p>
      <w:r>
        <w:t>Au vu de ce qui précède, les serres-tunnels, la cour, les parkings et le chemin litigieux doivent être assujettis à une autorisation de construire.</w:t>
      </w:r>
    </w:p>
    <w:p>
      <w:r>
        <w:rPr>
          <w:b/>
        </w:rPr>
        <w:t>E. 3</w:t>
      </w:r>
    </w:p>
    <w:p>
      <w:r>
        <w:t>Les recourants font enfin valoir une violation arbitraire des art. 129 let . e et 130 de la loi genevoise du 14 avril 1988 sur les constructions et les installations diverses (LCI; RS GE L 5 05), qui concernent notamment la remise en état et ses conditions d'application. Ils estiment qu'il était arbitraire d'ordonner une remise en état des parkings, de la cour, du chemin, des serres-tunnels et du hangar, d'une part, tout en autorisant le maintien du paddock et du marcheur, d'autre part. L'ensemble de ces installations seraient en effet nécessaires au fonctionnement du manège et devrait par conséquent être autorisé. Dans le cadre de ce grief, les recourants se réfèrent également au principe de la proportionnalité ( art. 5 al. 2 Cst. ).</w:t>
      </w:r>
    </w:p>
    <w:p>
      <w:r>
        <w:rPr>
          <w:b/>
        </w:rPr>
        <w:t>E. 3.1.1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ATF 147 II 309 consid. 5.5).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 ATF 132 II 21 consid. 6.4) et le respect du principe de l'égalité devant la loi (arrêt 1C_53/2022 du 15 mai 2023 consid. 4.1). Toutefois et conformément au principe de la proportionnalité, l'autorité peut renoncer à un ordre de démolition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néanmoins s'attendre à ce que celle-ci se préoccupe plus de rétablir une situation conforme au droit que d'éviter les inconvénients qui en découlent pour lui ( ATF 123 II 248 consid. 4a).</w:t>
      </w:r>
    </w:p>
    <w:p>
      <w:r>
        <w:rPr>
          <w:b/>
        </w:rPr>
        <w:t>E. 3.1.2</w:t>
      </w:r>
    </w:p>
    <w:p>
      <w:r>
        <w:t>Le Tribunal fédéral revoit librement l'interprétation et l'application du droit fédéral et du droit constitutionnel cantonal ( art. 95 LTF ). Il ne revoit en revanche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 Si le Tribunal fédéral applique le droit fédéral d'office ( art. 106 al. 1 LTF ), il appartient à la partie recourante de démontrer par une argumentation qui réponde aux exigences des art. 42 al. 2 et 106 al. 2 LTF en quoi une norme cantonale a été appliquée arbitrairement. Le recourant doit ainsi indiquer précisément quelle disposition constitutionnelle ou légale a été violée et démontrer par une argumentation précise en quoi consiste la violation.</w:t>
      </w:r>
    </w:p>
    <w:p>
      <w:r>
        <w:rPr>
          <w:b/>
        </w:rPr>
        <w:t>E. 3.1.3</w:t>
      </w:r>
    </w:p>
    <w:p>
      <w:r>
        <w:t>Le principe de proportionnalité, dont la violation peut être invoquée de manière indépendante dans un recours en matière de droit public (cf. art. 95 al. 1 let. a LTF ) commande que la mesure étatique soit nécessaire et apte à atteindre le but prévu et qu'elle soit raisonnable pour la personne concernée ( ATF 140 I 257 consid. 6.3.1; ATF 140 II 194 consid. 5.8.2). Lorsqu'une violation du principe de la proportionnalité est invoquée indépendamment de toute atteinte à un droit fondamental, le Tribunal fédéral ne l'examine que sous l'angle de l'arbitraire (cf. consid. 3.1.2 ci-dessus); il en va notamment ainsi lorsque, comme en l'espèce, l'invocation de ce principe est en lien avec l'application du droit cantonal ( ATF 141 I 1 consid. 5.3.2; arrêt 1C_145/2021 du 12 août 2021 consid. 3 et les références citées).</w:t>
      </w:r>
    </w:p>
    <w:p>
      <w:r>
        <w:rPr>
          <w:b/>
        </w:rPr>
        <w:t>E. 3.2</w:t>
      </w:r>
    </w:p>
    <w:p>
      <w:r>
        <w:t>La Cour de justice a considéré que le principe de la proportionnalité ne pouvait conduire l'autorité à renoncer à ordonner une remise en l'état des parkings, de la cour, du chemin, des serres-tunnels et du hangar. En effet, les dérogations à la règle n'étaient pas mineures dès lors qu'elles concernaient plusieurs installations réparties sur plusieurs parcelles, les intérêts publics concernés justifiaient la démolition des équipements concernés, les recourants, qui avaient mis l'autorité devant le fait accompli, ne pouvaient se prévaloir de leur bonne foi et il n'existait pas non plus de chances sérieuses de faire reconnaître les constructions comme conformes au droit. Les recourants, qui contestent la pesée des intérêts effectuée par l'autorité précédente, reviennent en particulier sur le caractère prétendument indispensable des infrastructures litigieuses pour l'exploitation du manège. A ce sujet, ils se contentent de rappeler que les serres-tunnels servent à stocker des copeaux et de la paille nécessaires à l'exploitation du manège et que les parkings, la cour et le chemin servent au stationnement de certains véhicules essentiels au fonctionnement du manège. Au surplus, les recourants critiquent la différence de traitement entre les parkings, la cour, le chemin, les serres-tunnels et le hangar d'une part, et le paddock et le marcheur, d'autre part, dont l'autorité a renoncé à ordonner la remise en état; ils ne fournissent toutefois pas d'élément concret susceptible de démontrer le caractère disproportionné de la remise en état. Dans son arrêt, la Cour de justice a détaillé les raisons pour lesquelles il pouvait être renoncé à un ordre de remise en état pour le marcheur et le paddock, à l'inverse des installations litigieuses: les autorités avaient notamment fait preuve d'une tolérance active, voire d'une passivité, concernant ces deux objets pendant plus de vingt ans et les recourants pouvaient par conséquent se prévaloir de leur bonne foi. Tel n'était pas le cas pour les installations, plus récentes, faisant l'objet de la présente procédure et pour lesquelles les conditions d'une renonciation à la remise en état (cf. consid. 3.1.1 ci-dessus) n'étaient pas réunies. L'autorité précédente a en effet procédé à une pesée des intérêts et a fait prévaloir les intérêts publics à la séparation entre espace bâti et non bâti, à la préservation de la zone agricole et des SDA, ainsi qu'à l'égalité devant la loi sur les intérêts privés des recourants à conserver les aménagements litigieux. Dans ces conditions et au vu des éléments qui précèdent, le raisonnement de l'instance précédente apparaît défendable et le résultat auquel elle est parvenue ne semble pas déraisonnable. A défaut de démonstration d'arbitraire dans l'application des art. 129 let . e et 130 LCI, le grief des recourants doit être écarté.</w:t>
      </w:r>
    </w:p>
    <w:p>
      <w:r>
        <w:rPr>
          <w:b/>
        </w:rPr>
        <w:t>E. 3.3</w:t>
      </w:r>
    </w:p>
    <w:p>
      <w:r>
        <w:t>Les recourants prétendent encore que le hangar ne pourrait faire l'objet d'un ordre de remise en état dans la mesure où la procédure A/1570/2015, qui porte sur la demande d'autorisation de construire un bâtiment (DD 106'865) à l'emplacement du hangar visé par l'ordre de remise en état no INF 5429, est en cours d'instruction devant le TAPI. Il ressort toutefois du dossier que la procédure A/1570/2015 porte sur un objet autre que celui visé par la présente procédure. Les recourants précisent d'ailleurs que la demande DD 106'865 implique la démolition du hangar ici litigieux (cf. mémoire de recours, ch. 91). On peine par conséquent à voir en quoi un ordre de remise en état dudit hangar, au demeurant exécutable qu'après l'entrée en vigueur de la décision de refus DD 106'865 (cf. décision no INF 5429 du 18 novembre 2020, p. 2), serait incompatible avec l'issue de la procédure A/1570/2015, quelle qu'elle soit.</w:t>
      </w:r>
    </w:p>
    <w:p>
      <w:r>
        <w:rPr>
          <w:b/>
        </w:rPr>
        <w:t>E. 4</w:t>
      </w:r>
    </w:p>
    <w:p>
      <w:r>
        <w:t>Les considérants qui précèdent conduisent au rejet du recours. Les recourants, qui succombent, supportent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