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1C_112/2021 vom 4. März 2021</w:t>
      </w:r>
    </w:p>
    <w:p>
      <w:r>
        <w:t>Bundesgericht, 2021-03-04, DE</w:t>
      </w:r>
    </w:p>
    <w:p>
      <w:r>
        <w:rPr>
          <w:b/>
        </w:rPr>
        <w:t xml:space="preserve">Quelle: </w:t>
      </w:r>
      <w:r>
        <w:t>https://mcp.opencaselaw.ch/entscheid/bger_1C_112_2021</w:t>
      </w:r>
    </w:p>
    <w:p>
      <w:r>
        <w:t>FR: TF 1C_112/2021 du 4 mars 2021</w:t>
      </w:r>
    </w:p>
    <w:p>
      <w:r>
        <w:t>IT: TF 1C_112/2021 del 4 marzo 2021</w:t>
      </w:r>
    </w:p>
    <w:p>
      <w:pPr>
        <w:pStyle w:val="Heading2"/>
      </w:pPr>
      <w:r>
        <w:t>Erwägungen</w:t>
      </w:r>
    </w:p>
    <w:p>
      <w:r>
        <w:rPr>
          <w:b/>
        </w:rPr>
        <w:t>E. 1</w:t>
      </w:r>
    </w:p>
    <w:p>
      <w:r>
        <w:t>Angefochten ist ein kantonal letztinstanzlicher Entscheid, mit dem das Kantonsgericht die Verfügung der Gemeinde Emmen geschützt hat, womit sie den Beschwerdeführer verpflichtete, entweder die Terrainveränderungen rückgängig zu machen oder ein nachträgliches Baugesuch dafür einzureichen und ihm vorsorglich verbot, weitere Terrainveränderungen vorzunehmen und die Motocross-Piste zu benutzen. Dagegen ist die Beschwerde in öffentlich-rechtlichen Angelegenheiten zulässig ( Art. 82 ff. BGG ). Er schliesst das Baubewilligungsverfahren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äussert sich unter Verletzung seiner gesetzlichen Begründungspflicht nicht zu den Voraussetzungen von Art. 93 BGG und legt damit nicht dar, inwiefern sie erfüllt sein könnten. Es ist insbesondere auch nicht ersichtlich, inwiefern ihm durch die Verpflichtung zur Einreichung eines nachträglichen Baubewilligungsgesuchs, mit dem er auch die Aufhebung des vorsorglichen Bau- und Nutzungsstopps verlangen kann, ein nicht wieder gutzumachender Nachteil rechtlicher Natur droht (vgl. Urteil des Bundesgerichts 1C_112/2020 vom 10. Juni 2020).</w:t>
      </w:r>
    </w:p>
    <w:p>
      <w:r>
        <w:rPr>
          <w:b/>
        </w:rPr>
        <w:t>E. 2</w:t>
      </w:r>
    </w:p>
    <w:p>
      <w:r>
        <w:t>Auf die Beschwerde ist damit im vereinfachten Verfahren nach Art. 108 BGG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