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1C_10/2020 vom 24. März 2020</w:t>
      </w:r>
    </w:p>
    <w:p>
      <w:r>
        <w:t>Bundesgericht, 2020-03-24, FR</w:t>
      </w:r>
    </w:p>
    <w:p>
      <w:r>
        <w:rPr>
          <w:b/>
        </w:rPr>
        <w:t xml:space="preserve">Quelle: </w:t>
      </w:r>
      <w:r>
        <w:t>https://mcp.opencaselaw.ch/entscheid/bger_1C_10_2020</w:t>
      </w:r>
    </w:p>
    <w:p>
      <w:r>
        <w:t>FR: TF 1C_10/2020 du 24 mars 2020</w:t>
      </w:r>
    </w:p>
    <w:p>
      <w:r>
        <w:t>IT: TF 1C_10/2020 del 24 marzo 2020</w:t>
      </w:r>
    </w:p>
    <w:p>
      <w:pPr>
        <w:pStyle w:val="Heading2"/>
      </w:pPr>
      <w:r>
        <w:t>Erwägungen</w:t>
      </w:r>
    </w:p>
    <w:p>
      <w:r>
        <w:rPr>
          <w:b/>
        </w:rPr>
        <w:t>E. 1</w:t>
      </w:r>
    </w:p>
    <w:p>
      <w:r>
        <w:t>Le recours est dirigé contre un arrêt final rendu en dernière instance cantonale ( art. 86 al. 1 let . d LTF) dans une cause de droit public. Il est recevable comme recours en matière de droit public au sens de l' art. 82 let. a LTF . Les recourants ont qualité pour agir puisqu'ils ont pris part à la procédure devant la cour cantonale et disposent d'un intérêt à l'admission de leur demande de récusation ( art. 89 al. 1 LTF ). Il y a donc lieu d'entrer en matière.</w:t>
      </w:r>
    </w:p>
    <w:p>
      <w:r>
        <w:rPr>
          <w:b/>
        </w:rPr>
        <w:t>E. 2</w:t>
      </w:r>
    </w:p>
    <w:p>
      <w:r>
        <w:t>Les recourants reprennent leurs motifs de récusation, en relevant que ceux-ci ont trait non pas aux opinions exprimées par le Conseiller d'Etat durant son mandat mais à son activité et ses prises de position antérieures, de sorte que les critères moins sévères en matière de récusation pour les membres d'une autorité gouvernementale ne s'appliqueraient pas. Contrairement à ce que retient la cour cantonale, le Conseiller d'Etat disposait d'un certain pouvoir d'appréciation lors de la signature du plan d'affectation, l'existence d'une marge de manoeuvre étant au demeurant sans pertinence s'agissant de la récusation. Le Conseiller d'Etat a présidé de 2008 à 2012 l'association J.________, dont le but est la promotion de l'énergie éolienne. Dans un communiqué du 3 novembre 2010, J.________ s'était exprimée contre une initiative anti-éoliennes, dénonçant " les exagérations des opposants à ce type d'énergie ". Lors de son départ en 2012, J.________ avait relevé dans sa newsletter que son ancien président " avait fait du dossier éolien son combat politique ", faisant état d'un engagement public et actif en faveur de la promotion de l'énergie éolienne. L'adoption du PAC ne se limiterait pas à une simple signature, le Conseiller d'Etat intervenant dans ce cadre comme autorité administrative. La jurisprudence relative à l'appartenance des magistrats à des partis politiques ne s'appliquerait pas: le Conseiller d'Etat n'avait pas soutenu un programme politique général, mais une association avec un but précis pour lequel il s'était activement engagé. Le fait qu'il ne soit plus président de J.________ n'enlèverait rien à la réalité et à l'actualité de ses convictions, qu'il avait encore concrètement soutenues par la suite (lors d'une interpellation comme Conseiller national en 2013). Cela suffirait à créer une apparence de partialité, d'autant que le Conseiller d'Etat n'est pas intervenu au sein d'un collège mais a signé seul le PAC.</w:t>
      </w:r>
    </w:p>
    <w:p>
      <w:r>
        <w:rPr>
          <w:b/>
        </w:rPr>
        <w:t>E. 2.1</w:t>
      </w:r>
    </w:p>
    <w:p>
      <w:r>
        <w:t>L' art. 29 al. 1 Cst. invoqué par les recourants (ceux-ci ne prétendent pas que la disposition cantonale de l' art. 11 let . g LPJA irait plus loin)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(cf. ATF 139 III 120 consid. 3.2.1 p. 124; arrêt 2C_931/2015 du 12 octobre 2016 consid. 5.1).</w:t>
      </w:r>
    </w:p>
    <w:p>
      <w:r>
        <w:t>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Contrairement à ce que soutiennent les recourants, ces exigences moindres s'appliquent quelle que soit la fonction de l'autorité administrative, y compris lorsque celle-ci rend une décision, et quel que soit le moment - même antérieur à la prise de fonction - auquel l'intéressé a exprimé les convictions litigieuses. La jurisprudence considère ainsi que les membres des autorités supérieures du pouvoir exécutif ne peuvent être récusés que s'ils ont un intérêt particulier à l'affaire, s'ils ont émis auparavant une opinion personnelle au sujet d'une partie ou s'ils ont commis des erreurs de procédure ou d'appréciation particulièrement lourdes ou répétées, qui doivent être considérées comme des violations graves de leurs devoirs et dénotent l'intention de nuire à la personne concernée ( ATF 125 I 119 consid. 3e p. 124; arrêt 2C_643/2010 du 1er février 2011 consid. 5.5.2). Les recourants ne prétendent pas que tel serait le cas en l'espèce.</w:t>
      </w:r>
    </w:p>
    <w:p>
      <w:r>
        <w:t>Une récusation est également possible lorsque l'autorité s'est forgée une opinion inébranlable avant même d'avoir pris connaissance de tous les faits pertinents de la cause (cf. arrêt 2C_931/2015 du 12 octobre 2016 consid. 5.1 et les références citées). A cet égard, une appréciation spécifique est nécessaire dans chaque situation particulière (cf. ATF 125 I 119 consid. 3f p. 124s.).</w:t>
      </w:r>
    </w:p>
    <w:p>
      <w:r>
        <w:rPr>
          <w:b/>
        </w:rPr>
        <w:t>E. 2.2</w:t>
      </w:r>
    </w:p>
    <w:p>
      <w:r>
        <w:t>En l'occurrence, le Conseiller d'Etat a exprimé clairement et publiquement, lorsqu'il présidait Eole Suisse de 2008 à 2012 et encore par la suite, des convictions favorables au développement de l'énergie éolienne en Suisse. Cela ne suffit toutefois pas pour justifier sa récusation au moment de signer le PAC. Les membres d'exécutifs cantonaux sont en effet élus notamment à raison de leur appartenance et de leurs convictions politiques, ainsi que de leurs engagements sur certains thèmes particuliers; cela ne saurait justifier leur récusation à chaque fois qu'ils auraient à intervenir sur des sujets pouvant avoir un rapport, proche ou lointain, avec les convictions exprimées.</w:t>
      </w:r>
    </w:p>
    <w:p>
      <w:r>
        <w:t>En l'occurrence, il n'est pas prétendu que le Conseiller d'Etat aurait conservé un quelconque lien avec l'association qu'il avait quittée cinq ans plus tôt et qui n'est d'ailleurs pas directement impliquée dans le projet de parc éolien de la montagne de Buttes. Il n'a par ailleurs exprimé, en tant que Conseiller d'Etat, aucun parti pris envers les opposants à l'énergie éolienne. Comme le relève pertinemment la cour cantonale, quelles que soient les convictions exprimées précédemment par le Conseiller d'Etat, l'encouragement des énergies renouvelables et de l'énergie éolienne en particulier est désormais concrétisé dans l'ensemble de l'ordre juridique ( art. 89 al. 1 et 2 Cst. ; art. 2 al. 1, 7 al. 3, 10 al. 1 et 19 let. c de la loi fédérale sur l'énergie; art. 31 de la loi neuchâteloise sur l'énergie). La Fiche de coordination E_24 du Plan directeur cantonal neuchâtelois prévoit le développement des parc éoliens d'une puissance d'au moins 10 GWh/an sur les sites déjà sélectionnés afin de couvrir à terme 20% de la consommation annuelle cantonale d'électricité. Cette fiche impose notamment de tenir compte des critères et recommandations du concept éolien cantonal s'agissant des PAC pour les parcs éoliens; elle pose en outre des exigences particulières pour les différents sites dont le choix est déjà arrêté. Quelles que soient donc les convictions actuelles du Conseiller d'Etat à propos de l'énergie éolienne et indépendamment du pouvoir d'appréciation dont dispose son département lors de la signature du PAC, la volonté de valoriser l'énergie éolienne figure dans le Plan directeur cantonal et s'impose à l'autorité en vertu de l' art. 9 al. 1 LAT . Il n'y a donc pas matière à récusation en raison des convictions exprimées par l'intéressé avant d'accéder à la charge de Conseiller d'Etat et allant dans le même sens que la politique fédérale et cantonale en matière d'énergies renouvelables.</w:t>
      </w:r>
    </w:p>
    <w:p>
      <w:r>
        <w:rPr>
          <w:b/>
        </w:rPr>
        <w:t>E. 3</w:t>
      </w:r>
    </w:p>
    <w:p>
      <w:r>
        <w:t>Sur le vu de ce qui précède, le recours doit être rejeté, aux frais des recourants ( art. 66 al. 1 LTF ). L'intimée I.________, qui s'est opposée au recours avec l'aide d'un mandataire professionnel, a droit à des dépens. Ceux-ci seront réduits dès lors qu'elle a présenté ses conclusions sans développer de motivation.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