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10/2018 vom 12. Februar 2018</w:t>
      </w:r>
    </w:p>
    <w:p>
      <w:r>
        <w:t>Bundesgericht, 2018-02-12, DE</w:t>
      </w:r>
    </w:p>
    <w:p>
      <w:r>
        <w:rPr>
          <w:b/>
        </w:rPr>
        <w:t xml:space="preserve">Quelle: </w:t>
      </w:r>
      <w:r>
        <w:t>https://mcp.opencaselaw.ch/entscheid/bger_1C_10_2018</w:t>
      </w:r>
    </w:p>
    <w:p>
      <w:r>
        <w:t>FR: TF 1C 10/2018 du 12 février 2018</w:t>
      </w:r>
    </w:p>
    <w:p>
      <w:r>
        <w:t>IT: TF 1C 10/2018 del 12 febbraio 2018</w:t>
      </w:r>
    </w:p>
    <w:p>
      <w:pPr>
        <w:pStyle w:val="Heading2"/>
      </w:pPr>
      <w:r>
        <w:t>Regeste</w:t>
      </w:r>
    </w:p>
    <w:p>
      <w:r>
        <w:t>Auslieferung an die Republik Kosovo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Der Beschwerdeführer bringt vor, das Auslieferungsersuchen sei hinsichtlich Zeit und Ort des ihm vorgeworfenen strafbaren Verhaltens zu ungenau. Dadurch werde ihm der Alibibeweis nach Art. 53 IRSG verunmöglicht. Insoweit rechtfertige sich die Annahme eines besonders bedeutenden Falles nach Art. 84 BGG . Dem kann nicht gefolgt werden. Die Rechtsprechung stellt an die Darlegung des Sachverhalts im Auslieferungsersuchen keine strengen Anforderungen. Diese Darlegung muss den schweizerischen Behörden lediglich die Prüfung ermöglichen, ob und wieweit die Auslieferungsvoraussetzungen - beidseitige Strafbarkeit, kein politisches Delikt, keine Verjährung etc. -erfüllt sind ( BGE 133 IV 76 E. 2.2 S. 79; 109 Ib 64 E. 2a S. 65 f.; 108 Ib 525 E. 3 S. 530/531; je mit Hinweisen; MARC ENGLER, in: Internationales Strafrecht, Basler Kommentar, 2015, N. 18 zu Art. 28 IRSG ). Diese Prüfung konnte hier vorgenommen werden. Nach der Rechtsprechung ist das Auslieferungsersuchen nicht deshalb zur Präzisierung an die ersuchende Behörde zurückzuweisen, weil es dem Verfolgten den Alibibeweis nach Art. 53 IRSG erschwert (Urteil 1A.13/2006 vom 9. Februar 2006 E. 6). Der Beschwerdeführer bringt nichts vor, was es rechtfertigen könnte, darauf zurückzukommen. Nach Art. 28 Abs. 3 lit. a IRSG , der hier anwendbar ist (angefochtener Entscheid E. 1.1 S. 3), ist dem Ersuchen eine kurze Darstellung des wesentlichen Sachverhalts beizufügen "für die rechtliche Beurteilung der Tat" ("pour permettre de déterminer la nature juridique de l'infraction", "per l'apprezzamento giuridico del reato"). Beim Alibibeweis geht es nicht um die rechtliche Beurteilung der Tat, sondern eine Sachverhaltsfrage ( BGE 123 II 279 E. 2b S. 281 f. mit Hinweisen). Dass der vorliegende Fall sonst wie von besonderer Bedeutung sein könnte, legt der Beschwerdeführer nicht dar und ist nicht ersichtlich. Die Beschwerde ist daher unzulässig.</w:t>
      </w:r>
    </w:p>
    <w:p>
      <w:r>
        <w:rPr>
          <w:b/>
        </w:rPr>
        <w:t>E. 1.3</w:t>
      </w:r>
    </w:p>
    <w:p>
      <w:r>
        <w:t>Da es damit grundsätzlich bei der Auslieferung bleibt, besteht für die beantragte Entlassung des Beschwerdeführers aus der Auslieferungshaft kein Grund.</w:t>
      </w:r>
    </w:p>
    <w:p>
      <w:r>
        <w:rPr>
          <w:b/>
        </w:rPr>
        <w:t>E. 2</w:t>
      </w:r>
    </w:p>
    <w:p>
      <w:r>
        <w:t>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