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10/2017 vom 17. Januar 2017</w:t>
      </w:r>
    </w:p>
    <w:p>
      <w:r>
        <w:t>Bundesgericht, 2017-01-17, DE</w:t>
      </w:r>
    </w:p>
    <w:p>
      <w:r>
        <w:rPr>
          <w:b/>
        </w:rPr>
        <w:t xml:space="preserve">Quelle: </w:t>
      </w:r>
      <w:r>
        <w:t>https://mcp.opencaselaw.ch/entscheid/bger_1C_10_2017</w:t>
      </w:r>
    </w:p>
    <w:p>
      <w:r>
        <w:t>FR: TF 1C 10/2017 du 17 janvier 2017</w:t>
      </w:r>
    </w:p>
    <w:p>
      <w:r>
        <w:t>IT: TF 1C 10/2017 del 17 gennaio 2017</w:t>
      </w:r>
    </w:p>
    <w:p>
      <w:pPr>
        <w:pStyle w:val="Heading2"/>
      </w:pPr>
      <w:r>
        <w:t>Regeste</w:t>
      </w:r>
    </w:p>
    <w:p>
      <w:r>
        <w:t>Auslieferung an Rumänien | Rechtshilfe und Auslieferung</w:t>
      </w:r>
    </w:p>
    <w:p>
      <w:pPr>
        <w:pStyle w:val="Heading2"/>
      </w:pPr>
      <w:r>
        <w:t>Erwägungen</w:t>
      </w:r>
    </w:p>
    <w:p>
      <w:r>
        <w:rPr>
          <w:b/>
        </w:rPr>
        <w:t>E. 1</w:t>
      </w:r>
    </w:p>
    <w:p>
      <w:r>
        <w:t>Gemäss Art. 48 BGG müssen Eingaben spätestens am letzten Tag der Frist beim Bundesgericht eingereicht oder zu dessen Handen der Schweizerischen Post (...) übergeben werden (Abs. 1). Die Frist gilt auch als gewahrt, wenn die Eingabe rechtzeitig bei der Vorinstanz (...) eingereicht worden ist. Die Eingabe ist unverzüglich dem Bundesgericht zu übermitteln (Abs. 3). Der Beschwerdeführer nahm den angefochtenen Entscheid am 30. Dezember 2016 in Empfang. Er hat die Beschwerde innerhalb von 10 Tagen der Vorinstanz eingereicht und die Frist nach Art. 100 Abs. 2 lit. b BGG somit gewahrt. Die Beschwerde ist rechtzeitig.</w:t>
      </w:r>
    </w:p>
    <w:p>
      <w:r>
        <w:rPr>
          <w:b/>
        </w:rPr>
        <w:t>E. 2.1</w:t>
      </w:r>
    </w:p>
    <w:p>
      <w:r>
        <w:t>Gemäss Art. 84 Abs. 1 BGG ist gegen einen Entscheid auf dem Gebiet der internationalen Rechtshilfe in Strafsachen die Beschwerde nur zulässig, wenn er unter anderem eine Auslieferung betrifft und es sich um einen besonders bedeutenden Fall handelt.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Der Beschwerdeführer legt nicht dar, weshalb hier ein besonders bedeutender Fall gegeben sein soll. Ob man annehmen kann, dass er das zumindest sinngemäss tut und die Beschwerde damit den Begründungsanforderungen nach Art. 42 Abs. 2 BGG genügt, kann dahingestellt bleiben. Ein besonders bedeutender Fall ist jedenfalls zu verneinen.</w:t>
      </w:r>
    </w:p>
    <w:p>
      <w:r>
        <w:rPr>
          <w:b/>
        </w:rPr>
        <w:t>E. 2.3</w:t>
      </w:r>
    </w:p>
    <w:p>
      <w:r>
        <w:t>Der Beschwerdeführer bringt vor, im rumänischen Strafvollzug drohe ihm eine unmenschliche Behandlung. Nach der bundesgerichtlichen Rechtsprechung stehen die Verhältnisse im rumänischen Strafvollzug einer Auslieferung bzw. Überstellung zur weiteren Vollstreckung einer Freiheitsstrafe nicht entgegen und gewährt die Schweiz Auslieferungen an Rumänien praxisgemäss ohne besondere Auflagen in Bezug auf die Haftbedingungen (Urteile 1C_441/2016 vom 18. Oktober 2016 E. 1.2.2; 1C_268/2016 vom 6. Juli 2016 E. 2.2 mit Hinweis). Der Beschwerdeführer bringt nichts vor, was es rechtfertigen könnte, darauf zurückzukommen. Dass der Angelegenheit sonst wie eine aussergewöhnliche Trageweite zukommen könnte, macht der Beschwerdeführer nicht geltend und ist nicht ersichtlich. Auf die Beschwerde wird daher nicht eingetreten.</w:t>
      </w:r>
    </w:p>
    <w:p>
      <w:r>
        <w:rPr>
          <w:b/>
        </w:rPr>
        <w:t>E. 3</w:t>
      </w:r>
    </w:p>
    <w:p>
      <w:r>
        <w:t>Unter den gegebenen Umständen - der Beschwerdeführer befindet sich seit über 3 Monaten in Haft -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