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1C_10/2014 vom 4. April 2014</w:t>
      </w:r>
    </w:p>
    <w:p>
      <w:r>
        <w:t>Bundesgericht, 2014-04-04, DE</w:t>
      </w:r>
    </w:p>
    <w:p>
      <w:r>
        <w:rPr>
          <w:b/>
        </w:rPr>
        <w:t xml:space="preserve">Quelle: </w:t>
      </w:r>
      <w:r>
        <w:t>https://mcp.opencaselaw.ch/entscheid/bger_1C_10_2014</w:t>
      </w:r>
    </w:p>
    <w:p>
      <w:r>
        <w:t>FR: TF 1C_10/2014 du 4 avril 2014</w:t>
      </w:r>
    </w:p>
    <w:p>
      <w:r>
        <w:t>IT: TF 1C_10/2014 del 4 aprile 2014</w:t>
      </w:r>
    </w:p>
    <w:p>
      <w:pPr>
        <w:pStyle w:val="Heading2"/>
      </w:pPr>
      <w:r>
        <w:t>Erwägungen</w:t>
      </w:r>
    </w:p>
    <w:p>
      <w:r>
        <w:rPr>
          <w:b/>
        </w:rPr>
        <w:t>E. 1.1</w:t>
      </w:r>
    </w:p>
    <w:p>
      <w:r>
        <w:t>Angefochten ist mit § 52c Abs. 3 WAG die Bestimmung eines kantonalen Erlasses über das Wahlverfahren des Kantonsrats. Die Beschwerde in öffentlich-rechtlichen Angelegenheiten betrifft somit die politische Stimmberechtigung und ist zulässig, da kein kantonales Rechtsmittel dagegen offen steht ( Art. 82 lit. c, Art. 87 Abs. 1, Art. 88 Abs. 1 lit. a BGG ). Für eine subsidiäre Verfassungsbeschwerde besteht daher von vornherein kein Raum. Die Piratenpartei Zentralschweiz als (auch) im Kanton Zug aktive politische Partei sowie die beiden privaten Beschwerdeführer als Zuger Stimmberechtigte sind zur Beschwerde befugt ( Art. 89 Abs. 3 BGG ; BGE 139 I 195 E. 1.4).</w:t>
      </w:r>
    </w:p>
    <w:p>
      <w:r>
        <w:rPr>
          <w:b/>
        </w:rPr>
        <w:t>E. 1.2</w:t>
      </w:r>
    </w:p>
    <w:p>
      <w:r>
        <w:t>Beschwerden gegen Erlasse sind innert 30 Tagen nach der nach dem kantonalen Recht massgebenden Veröffentlichung des Erlasses beim Bundesgericht einzureichen ( Art. 101 BGG ). Massgebend für den Beginn des Fristenlaufs ist nach konstanter Praxis des Bundesgerichts die Publikation des Erlasses und der Feststellung, dass derselbe zustande gekommen ist und in Kraft treten kann; unerheblich ist, ob die angefochtene Norm im Zeitpunkt der Beschwerdeerhebung bereits in Kraft stand oder nicht ( BGE 130 I 82 E. 1.2 mit Hinweisen; Urteil 2C_53/2009 vom 23. September 2011 E. 1.2).</w:t>
      </w:r>
    </w:p>
    <w:p>
      <w:r>
        <w:t>Unbestritten ist, dass der Beschluss vom 9. Juli 2013, mit dem der Regierungsrat feststellte, dass gegen die Änderungen des WAG kein Referendum ergriffen worden sei und anordnete, die Gesetzesänderung in die kantonale Gesetzessammlung aufzunehmen, nach den einschlägigen Vorschriften des Publikationsgesetzes am 12. Juli 2013 im Amtsblatt veröffentlicht wurde. Das Verfahren zur Änderung des WAG fand demzufolge mit der Publikation dieses Erwahrungsbeschlusses seinen Abschluss, womit die Beschwerdefrist entsprechend der korrekten Rechtsmittelbelehrung des Regierungsrates am 13. Juli 2013 zu laufen begann. Damit erweist sich die am 10. Januar 2014 eingegangene Beschwerde als verspätet.</w:t>
      </w:r>
    </w:p>
    <w:p>
      <w:r>
        <w:t>Die Beschwerdeführer wenden in ihrer Replik zwar ein, dass die verfassungsmässige Grundlage für die hier umstrittene Revision des WAG am 12. Juli 2013 noch gar nicht bestanden habe und das Gesetz dementsprechend damals noch gar nicht hätte in Kraft gesetzt werden können. Das trifft zwar zu, ändert aber nichts daran, dass mit der Publikation des Erwahrungsbeschlusses vom 12. Juli 2013 die Gesetzesänderung definitiv verabschiedet war und - unter dem Vorbehalt des Ausgangs der Verfassungsabstimmung vom 22. September 2013 - in Kraft gesetzt werden konnte. Dementsprechend hat die Publikation des Erwahrungsbeschlusses vom 12. Juli 2013 die Beschwerdefrist von Art. 101 BGG ausgelöst.</w:t>
      </w:r>
    </w:p>
    <w:p>
      <w:r>
        <w:rPr>
          <w:b/>
        </w:rPr>
        <w:t>E. 2</w:t>
      </w:r>
    </w:p>
    <w:p>
      <w:r>
        <w:t>Auf die Beschwerde ist somit wegen Verspätung nicht einzutreten. Da der vorliegende Entscheid anfangs April ergeht, besteht keine Gefahr, dass das damit abgeschlossene Verfahren die Kantonsratswahlen vom 5. Oktober 2014 beeinträchtigen könnte. Die auf eine Beschleunigung des Verfahrens abzielenden Anträge - es sei der Entscheid zunächst im Dispositiv zuzustellen bzw. es sein eine öffentliche Verhandlung durchzuführen -, erweisen sich insofern als überflüssig bzw. unbegründet.</w:t>
      </w:r>
    </w:p>
    <w:p>
      <w:r>
        <w:t>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