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109/2009 vom 7. August 2009</w:t>
      </w:r>
    </w:p>
    <w:p>
      <w:r>
        <w:t>Bundesgericht, 2009-08-07, IT</w:t>
      </w:r>
    </w:p>
    <w:p>
      <w:r>
        <w:rPr>
          <w:b/>
        </w:rPr>
        <w:t xml:space="preserve">Quelle: </w:t>
      </w:r>
      <w:r>
        <w:t>https://mcp.opencaselaw.ch/entscheid/bger_1C_109_2009</w:t>
      </w:r>
    </w:p>
    <w:p>
      <w:r>
        <w:t>FR: TF 1C 109/2009 du 7 août 2009</w:t>
      </w:r>
    </w:p>
    <w:p>
      <w:r>
        <w:t>IT: TF 1C 109/2009 del 7 agosto 2009</w:t>
      </w:r>
    </w:p>
    <w:p>
      <w:pPr>
        <w:pStyle w:val="Heading2"/>
      </w:pPr>
      <w:r>
        <w:t>Regeste</w:t>
      </w:r>
    </w:p>
    <w:p>
      <w:r>
        <w:t>licenza edilizia | Pianificazione territoriale e diritto pubblico edilizio</w:t>
      </w:r>
    </w:p>
    <w:p>
      <w:pPr>
        <w:pStyle w:val="Heading2"/>
      </w:pPr>
      <w:r>
        <w:t>Erwägungen</w:t>
      </w:r>
    </w:p>
    <w:p>
      <w:r>
        <w:rPr>
          <w:b/>
        </w:rPr>
        <w:t>E. 1.1</w:t>
      </w:r>
    </w:p>
    <w:p>
      <w:r>
        <w:t>Presentato tempestivamente contro una decisione finale dell'ultima istanza cantonale che ha negato il rilascio di una licenza edilizia fondata sul diritto pubblico, il ricorso in materia di diritto pubblico è ammissibile sotto il profilo degli art. 82 lett. a, 86 cpv. 1 lett. d, 90 e 100 cpv. 1 LTF.</w:t>
      </w:r>
    </w:p>
    <w:p>
      <w:r>
        <w:rPr>
          <w:b/>
        </w:rPr>
        <w:t>E. 1.2</w:t>
      </w:r>
    </w:p>
    <w:p>
      <w:r>
        <w:t>I ricorrenti hanno partecipato al procedimento dinanzi all'autorità inferiore ( art. 89 cpv. 1 lett. a LTF ). Istante, rispettivamente proprietaria nella procedura edilizia, essi sono direttamente toccati dalla decisione impugnata, che nega loro la possibilità di realizzare il progetto di costruzione e hanno quindi un interesse degno di protezione al suo annullamento o alla sua modifica (art. 89 cpv. 1 lett. b e c LTF).</w:t>
      </w:r>
    </w:p>
    <w:p>
      <w:r>
        <w:rPr>
          <w:b/>
        </w:rPr>
        <w:t>E. 1.3</w:t>
      </w:r>
    </w:p>
    <w:p>
      <w:r>
        <w:t>I nuovi fatti e le relative nuove prove concernenti la definizione pianificatoria del tracciato in discussione sono di principio ammissibili, essendo provocati dalla motivazione della decisione impugnata (cfr. art. 99 cpv. 1 LTF ).</w:t>
      </w:r>
    </w:p>
    <w:p>
      <w:r>
        <w:rPr>
          <w:b/>
        </w:rPr>
        <w:t>E. 2.1</w:t>
      </w:r>
    </w:p>
    <w:p>
      <w:r>
        <w:t>I ricorrenti lamentano un accertamento dei fatti manifestamente inesatto, adducendo che la Corte cantonale sarebbe caduta in errore per avere ritenuto il "sentiero centrale" qualificato nel piano regolatore solo come un percorso pedonale. Considerano determinante il piano del 1996, secondo cui il sentiero in questione sarebbe definito sia come strada di servizio ad orientamento pedonale (SS2) sia come percorso pedonale. La Corte cantonale si sarebbe invece fondata su un piano del 1999, approvato in seguito a una modifica pianificatoria, la quale non avrebbe però interessato il tracciato in discussione: in quel contesto, la definizione grafica originaria non sarebbe stata riprodotta correttamente nel nuovo piano. I ricorrenti ritengono che, essendo qualificato anche come strada di servizio, il "sentiero centrale" sarebbe transitabile con i veicoli nel tratto che conduce al fondo dedotto in edificazione, per cui l'accesso al medesimo sarebbe sufficiente giusta l' art. 19 cpv. 1 LPT .</w:t>
      </w:r>
    </w:p>
    <w:p>
      <w:r>
        <w:rPr>
          <w:b/>
        </w:rPr>
        <w:t>E. 2.2</w:t>
      </w:r>
    </w:p>
    <w:p>
      <w:r>
        <w:t>Secondo l' art. 97 LTF , i ricorrenti possono censurare l'accertamento dei fatti soltanto se è stato svolto in modo manifestamente inesatto o in violazione del diritto ai sensi dell' art. 95 LTF e l'eliminazione del vizio può essere determinante per l'esito del procedimento. Per essere manifestamente inesatto, e quindi arbitrario, il criticato accertamento deve risultare chiaramente insostenibile, in evidente contrasto con la fattispecie, fondato su una svista manifesta o contraddire in modo urtante il sentimento di giustizia e di equità ( DTF 132 III 209 consid. 2.1, 129 I 173 consid. 3.1, 8 consid. 2.1 e rinvii). Giusta l' art. 105 cpv. 2 LTF , il Tribunale federale può rettificare o completare d'ufficio l'accertamento dei fatti dell'autorità inferiore se è stato svolto in modo manifestamente inesatto o in violazione del diritto ai sensi dell' art. 95 LTF .</w:t>
      </w:r>
    </w:p>
    <w:p>
      <w:r>
        <w:rPr>
          <w:b/>
        </w:rPr>
        <w:t>E. 2.3</w:t>
      </w:r>
    </w:p>
    <w:p>
      <w:r>
        <w:t>Risulta dalle risposte al ricorso presentate dal Tribunale cantonale amministrativo e in particolare dal Municipio di Locarno, nonché dagli atti su cui tali risposte sono basate, che la censura di accertamento manifestamente inesatto dei fatti è fondata. L'autorità comunale ha infatti esplicitamente confermato che al giudice delegato è stata sottoposta una documentazione pianificatoria non corretta, precisando l'esistenza di due piani: quello originario del 1996 e il secondo, del 1999, successivo a una modifica pianificatoria che non ha tuttavia riguardato la gerarchia delle strade nel comparto dei Monti della Trinità. Nel primo piano, il tratto del "sentiero centrale" considerato ai fini del giudizio sulla sufficienza dell'accesso, è indicato quale strada di servizio ad orientamento pedonale SS2 (colore giallo) e quale percorso pedonale (colore verde chiaro). Tale rappresentazione grafica non è stata riprodotta correttamente nel secondo piano, ove è stata indicata graficamente solo la caratteristica di percorso pedonale, nonostante non fossero intervenute modifiche. Queste circostanze sono avvalorate dalla documentazione prodotta agli atti, segnatamente dagli estratti dei due piani del traffico e dalla presa di posizione del pianificatore. Dall'estratto del piano del 1996 depositato presso la Sezione dello sviluppo territoriale del Dipartimento del territorio risulta che effettivamente il tratto del "sentiero centrale" a monte del fondo part. n. 1329 che si diparte dall'intersezione con il "sentiero Boteghen" è caratterizzato da una colorazione alternativa gialla e verde chiara ed è pertanto qualificato sia come percorso pedonale sia come strada di servizio ad orientamento pedonale (SS2). D'altra parte, non risulta che tale definizione sia stata successivamente oggetto di modifica. In particolare, le varianti del piano regolatore approvate dal Consiglio di Stato il 24 febbraio 1999 non hanno riguardato il tracciato in discussione. La tesi addotta genericamente dall'opponente, secondo cui occorrerebbe avviare una formale procedura di adozione del piano regolatore per correggere la rappresentazione grafica erronea riportata nel piano, appare pertanto destituita di fondamento.</w:t>
      </w:r>
    </w:p>
    <w:p>
      <w:r>
        <w:rPr>
          <w:b/>
        </w:rPr>
        <w:t>E. 2.4</w:t>
      </w:r>
    </w:p>
    <w:p>
      <w:r>
        <w:t>Alla luce di quanto esposto, l'accertamento secondo cui il percorso in questione sarebbe unicamente pedonale è quindi fondato su atti pianificatori incompleti ed è manifestamente inesatto. La Corte cantonale dovrà nuovamente pronunciarsi sul quesito dell'accesso sufficiente, tenendo conto della definizione pianificatoria completa relativa al "sentiero centrale". Non spetta per contro al Tribunale federale stabilire direttamente in questa sede se la condizione della sufficienza dell'accesso sia adempiuta o meno, ritenuto che al riguardo l'autorità cantonale beneficia ancora di un certo margine di apprezzamento, trattandosi anche dell'applicazione di diritto cantonale e comunale ed essendo in discussione la valutazione di situazioni locali, da lei meglio conosciute ( DTF 121 I 65 consid. 3a; sentenza 1P.319/2002 del 25 novembre 2002, consid. 3 e riferimenti, in: RDAT I-2003, n. 59, pag. 211 segg.).</w:t>
      </w:r>
    </w:p>
    <w:p>
      <w:r>
        <w:rPr>
          <w:b/>
        </w:rPr>
        <w:t>E. 3.1</w:t>
      </w:r>
    </w:p>
    <w:p>
      <w:r>
        <w:t>Ne segue che il ricorso deve essere accolto e la decisione impugnata annullata. Gli atti sono rinviati alla Corte cantonale affinché si pronunci nuovamente sulla fattispecie.</w:t>
      </w:r>
    </w:p>
    <w:p>
      <w:r>
        <w:rPr>
          <w:b/>
        </w:rPr>
        <w:t>E. 3.2</w:t>
      </w:r>
    </w:p>
    <w:p>
      <w:r>
        <w:t>Le spese giudiziarie e le ripetibili seguono la soccombenza (art. 66 cpv. 1 e 68 cpv. 1 LTF). In concreto, esse devono di principio essere poste a carico, oltre che dell'opponente, anche del Comune, ritenuto che l'accertamento inesatto in oggetto è riconducibile alle indicazioni imprecise fornite alla Corte cantonale dall'autorità comunale. Al Comune, che ha agito nell'esercizio delle sue attribuzioni ufficiali, non possono però essere addossate spese giudiziarie ( art. 66 cpv. 4 LTF ). Di ciò è tenuto conto nella determinazione del relativo ammontare.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