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108/2017 vom 23. Februar 2017</w:t>
      </w:r>
    </w:p>
    <w:p>
      <w:r>
        <w:t>Bundesgericht, 2017-02-23, IT</w:t>
      </w:r>
    </w:p>
    <w:p>
      <w:r>
        <w:rPr>
          <w:b/>
        </w:rPr>
        <w:t xml:space="preserve">Quelle: </w:t>
      </w:r>
      <w:r>
        <w:t>https://mcp.opencaselaw.ch/entscheid/bger_1C_108_2017</w:t>
      </w:r>
    </w:p>
    <w:p>
      <w:r>
        <w:t>FR: TF 1C 108/2017 du 23 février 2017</w:t>
      </w:r>
    </w:p>
    <w:p>
      <w:r>
        <w:t>IT: TF 1C 108/2017 del 23 febbraio 2017</w:t>
      </w:r>
    </w:p>
    <w:p>
      <w:pPr>
        <w:pStyle w:val="Heading2"/>
      </w:pPr>
      <w:r>
        <w:t>Regeste</w:t>
      </w:r>
    </w:p>
    <w:p>
      <w:r>
        <w:t>Assistenza giudiziaria internazionale in materia penale al Belgio; consegna di mezzi di prova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tra l'altro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 ricorrente, pena l'inammissibilità del gravame, dimostrare che le condizioni di entrata in materia richieste dall' art. 84 LTF sono adempiute ( DTF 139 IV 294 consid. 1.1 e rinvii).</w:t>
      </w:r>
    </w:p>
    <w:p>
      <w:r>
        <w:rPr>
          <w:b/>
        </w:rPr>
        <w:t>E. 2.1</w:t>
      </w:r>
    </w:p>
    <w:p>
      <w:r>
        <w:t>Al riguardo il ricorrente si limita a rilevare che in considerazione della sua qualità di imputato nel procedimento penale estero sarebbe l'unico soggetto toccato direttamente dalle contestate misure di assistenza. Ora, secondo la costante giurisprudenza, con la quale egli non si confronta del tutto, questa evenienza non è sufficiente a fondare la sua legittimazione a ricorrere contro una perquisizione avvenuta nei locali di terzi, segnatamente di una società, neppure nell'ipotesi in cui egli ne sarebbe l'azionista unico ( art. 9a lett. b OAIMP ; RS 351.11; vedi sul tema DTF 130 II 162 consid. 1 pag. 164; 122 II 130 consid. 2b pag. 133; 116 Ib 106 consid. 2a pag. 110; ROBERT ZIMMERMANN, La coopération judiciaire internationale en matière pénale, 4aed. 2014, n. 530). Inoltre, il ricorrente neppure tenta di dimostrare che il TPF, con il criticato giudizio, si sarebbe scostato dalla prassi costante.</w:t>
      </w:r>
    </w:p>
    <w:p>
      <w:r>
        <w:rPr>
          <w:b/>
        </w:rPr>
        <w:t>E. 2.2</w:t>
      </w:r>
    </w:p>
    <w:p>
      <w:r>
        <w:t>Per di più, sotto l'aspetto rigorosamente formale, egli nemmeno ha chiesto l'annullamento della sentenza del TPF ( art. 107 cpv. 1 LTF ).</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