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1C_108/2008 vom 3. März 2009</w:t>
      </w:r>
    </w:p>
    <w:p>
      <w:r>
        <w:t>Bundesgericht, 2009-03-03, DE</w:t>
      </w:r>
    </w:p>
    <w:p>
      <w:r>
        <w:rPr>
          <w:b/>
        </w:rPr>
        <w:t xml:space="preserve">Quelle: </w:t>
      </w:r>
      <w:r>
        <w:t>https://mcp.opencaselaw.ch/entscheid/bger_1C_108_2008</w:t>
      </w:r>
    </w:p>
    <w:p>
      <w:r>
        <w:t>FR: TF 1C_108/2008 du 3 mars 2009</w:t>
      </w:r>
    </w:p>
    <w:p>
      <w:r>
        <w:t>IT: TF 1C_108/2008 del 3 marzo 2009</w:t>
      </w:r>
    </w:p>
    <w:p>
      <w:pPr>
        <w:pStyle w:val="Heading2"/>
      </w:pPr>
      <w:r>
        <w:t>Erwägungen</w:t>
      </w:r>
    </w:p>
    <w:p>
      <w:r>
        <w:rPr>
          <w:b/>
        </w:rPr>
        <w:t>E. 1.1</w:t>
      </w:r>
    </w:p>
    <w:p>
      <w:r>
        <w:t>Beim angefochtenen Urteil des Bundesverwaltungsgerichts handelt es sich um einen mit Beschwerde in öffentlich-rechtlichen Angelegenheiten anfechtbaren Endentscheid (Art. 82, 86 Abs. 1 lit. a und Art. 90 BGG ). Eine Ausnahme gemäss Art. 83 ff. BGG liegt nicht vor.</w:t>
      </w:r>
    </w:p>
    <w:p>
      <w:r>
        <w:rPr>
          <w:b/>
        </w:rPr>
        <w:t>E. 1.2</w:t>
      </w:r>
    </w:p>
    <w:p>
      <w:r>
        <w:t>Das Bundesverwaltungsgericht hatte im angefochtenen Entscheid zu beurteilen, ob die Beschwerdeführer Anspruch auf Erlass einer materiellen Verfügung durch das BAFU über die verlangten Massnahmen haben. Es hat dies verneint, weil das BAFU nicht zuständig sei, die beantragten Massnahmen mit Verfügung anzuordnen, und die Beschwerdeführer zudem mangels schutzwürdigen Interesses keine Parteistellung beanspruchen könnten. Die Vorinstanz habe sich mit den Gesuchen zu Recht inhaltlich nicht befasst. Nicht mehr umstritten ist, dass das BAFU über die Fragen der Zuständigkeit und der Parteistellung eine formelle Verfügung hätte erlassen müssen. Zum Beschwerdegegenstand im vorliegenden bundesgerichtlichen Verfahren gehören somit lediglich die Frage der Zuständigkeit des BAFU, eine materielle Verfügung über die beantragten Massnahmen zu treffen, sowie die Parteistellung der Beschwerdeführer. Über die materielle Notwendigkeit der beantragten Massnahmen liegt noch kein anfechtbarer Entscheid vor.</w:t>
      </w:r>
    </w:p>
    <w:p>
      <w:r>
        <w:rPr>
          <w:b/>
        </w:rPr>
        <w:t>E. 1.3</w:t>
      </w:r>
    </w:p>
    <w:p>
      <w:r>
        <w:t>Nach Art. 42 Abs. 2 BGG ist in der Beschwerdebegründung in gedrängter Form darzulegen, inwiefern der angefochtene Akt Recht verletzt. Dies setzt voraus, dass sich der Beschwerdeführer wenigstens kurz mit den Erwägungen des angefochtenen Entscheids auseinandersetzt. Beruht der angefochtene Entscheid auf mehreren selbständigen Begründungen, die je für sich den Ausgang des Rechtsstreits besiegeln, so hat der Beschwerdeführer darzulegen, dass jede von ihnen Recht verletzt. Andernfalls kann auf die Beschwerde nicht eingetreten werden ( BGE 134 II 244 E. 2.1 S. 245 f.; 133 IV 119 E. 6 S. 120 f.).</w:t>
      </w:r>
    </w:p>
    <w:p>
      <w:r>
        <w:t>Der umstrittene Teil des Entscheids der Vorinstanz beruht auf mehreren Begründungen. Zunächst prüfte das Bundesverwaltungsgericht, ob das BAFU für die Anordnung der verlangten Massnahmen zuständig sei und ob diese Gegenstand einer Verfügung im Sinne von Art. 5 Abs. 1 VwVG bilden könnten. Es gelangte zum Schluss, das BAFU sei nicht zuständig, die verlangten Massnahmen mit Verfügung anzuordnen (E. 5 des angefochtenen Entscheids). Weiter verneinte es in E. 6 seines Entscheids die Parteistellung der Beschwerdeführer mangels eines schutzwürdigen Interesses an einem materiellen Entscheid. Schliesslich lehnte die Vorinstanz den von den Beschwerdeführern behaupteten Anspruch auf eine wirksame Beschwerde im Sinne von Art. 13 EMRK ab.</w:t>
      </w:r>
    </w:p>
    <w:p>
      <w:r>
        <w:t>Die vorinstanzlichen Erwägungen enthalten zwei selbständige Begründungen für den Verzicht auf eine materielle Verfügung über die von den Beschwerdeführern beantragten Massnahmen. Die Beschwerdeführer kritisieren sehr ausführlich die vorinstanzliche Würdigung ihrer Parteistellung und des Anspruchs auf eine wirksame Beschwerde im Sinne von Art. 13 EMRK . Indessen enthält die Beschwerde keine den Begründungsanforderungen von Art. 42 Abs. 2 BGG entsprechende Auseinandersetzung mit den Erwägungen des Bundesverwaltungsgerichts zur Zuständigkeit des BAFU, die geforderten Massnahmen anzuordnen. Dass die Vorinstanzen allfällige Pflichten zur Weiterleitung der Gesuche an zuständige Behörden missachtet hätten, wird ebenfalls nicht geltend gemacht. Diese Art der Beschwerdeführung genügt den Erfordernissen gemäss Art. 42 Abs. 2 BGG nicht, weshalb auf die Beschwerde nicht eingetreten werden kann (vgl. LAURENT MERZ, Bundesgerichtsgesetz, Basler Kommentar, Rz. 73 zu Art. 42 BGG ). Auch die Rügen der Verweigerung der Akteneinsicht ( Art. 29 Abs. 2 BV ), des Willkürverbots ( Art. 9 BV ) und des Anspruchs auf ein faires Verfahren ( Art. 6 Ziff. 1 EMRK ) erheben die Beschwerdeführer im Zusammenhang mit der Verteidigung ihrer Parteistellung bzw. ihres Anspruchs auf eine wirksame Beschwerde, ohne sich mit den Erwägungen der Vorinstanz zur Zuständigkeit des BAFU in der Sache auseinanderzusetzen. Somit kann auch auf diese Rügen nicht eingetreten werden, soweit sie im Übrigen überhaupt hinreichend substanziiert sind (vgl. BGE 134 II 244 E. 2.2 S. 246) und nicht auf blossen Vermutungen beruhen. Die Ansetzung einer Nachfrist zur Ergänzung der Beschwerde erübrigt sich (vgl. BGE 134 II 244 E. 2.4.2 S. 247 f.).</w:t>
      </w:r>
    </w:p>
    <w:p>
      <w:r>
        <w:rPr>
          <w:b/>
        </w:rPr>
        <w:t>E. 2</w:t>
      </w:r>
    </w:p>
    <w:p>
      <w:r>
        <w:t>Dem Ausgang des bundesgerichtlichen Verfahrens entsprechend sind die Gerichtskosten den Beschwerdeführern aufzuerlegen ( Art. 66 Abs. 1 BGG ).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