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1C_106/2022 vom 15. März 2022</w:t>
      </w:r>
    </w:p>
    <w:p>
      <w:r>
        <w:t>Bundesgericht, 2022-03-15, DE</w:t>
      </w:r>
    </w:p>
    <w:p>
      <w:r>
        <w:rPr>
          <w:b/>
        </w:rPr>
        <w:t xml:space="preserve">Quelle: </w:t>
      </w:r>
      <w:r>
        <w:t>https://mcp.opencaselaw.ch/entscheid/bger_1C_106_2022</w:t>
      </w:r>
    </w:p>
    <w:p>
      <w:r>
        <w:t>FR: TF 1C_106/2022 du 15 mars 2022</w:t>
      </w:r>
    </w:p>
    <w:p>
      <w:r>
        <w:t>IT: TF 1C_106/2022 del 15 marzo 2022</w:t>
      </w:r>
    </w:p>
    <w:p>
      <w:pPr>
        <w:pStyle w:val="Heading2"/>
      </w:pPr>
      <w:r>
        <w:t>Erwägungen</w:t>
      </w:r>
    </w:p>
    <w:p>
      <w:r>
        <w:rPr>
          <w:b/>
        </w:rPr>
        <w:t>E. 1</w:t>
      </w:r>
    </w:p>
    <w:p>
      <w:r>
        <w:t>Im Beschwerdeverfahren betreffend Sicherungsentzug wies das Luzerner Kantonsgericht am 31. Januar 2022 das Gesuch von A.________ um unentgeltliche Rechtspflege ab und setzte ihm Frist bis zum 18. Februar 2022, um einen Kostenvorschuss von Fr. 800.- zu bezahlen, unter der Androhung, bei Säumnis auf das Rechtsmittel nicht einzutreten.</w:t>
      </w:r>
    </w:p>
    <w:p>
      <w:r>
        <w:t>Mit Beschwerde vom 4. Februar 2022 teilt A.________ mit, er sei mit dieser Verfügung nicht einverstanden, weil "diese Sachen" nicht stimmen würden.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Beschwerde enthält weder einen Antrag noch eine Begründung und genügt damit den gesetzlichen Anforderungen nicht. Auf die Beschwerde ist wegen Verletzung der Begründungspflicht nicht einzutreten, wobei auf die Erhebung von Kosten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