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106/2011 vom 7. Juni 2011</w:t>
      </w:r>
    </w:p>
    <w:p>
      <w:r>
        <w:t>Bundesgericht, 2011-06-07, DE</w:t>
      </w:r>
    </w:p>
    <w:p>
      <w:r>
        <w:rPr>
          <w:b/>
        </w:rPr>
        <w:t xml:space="preserve">Quelle: </w:t>
      </w:r>
      <w:r>
        <w:t>https://mcp.opencaselaw.ch/entscheid/bger_1C_106_2011</w:t>
      </w:r>
    </w:p>
    <w:p>
      <w:r>
        <w:t>FR: TF 1C 106/2011 du 7 juin 2011</w:t>
      </w:r>
    </w:p>
    <w:p>
      <w:r>
        <w:t>IT: TF 1C 106/2011 del 7 giugno 2011</w:t>
      </w:r>
    </w:p>
    <w:p>
      <w:pPr>
        <w:pStyle w:val="Heading2"/>
      </w:pPr>
      <w:r>
        <w:t>Regeste</w:t>
      </w:r>
    </w:p>
    <w:p>
      <w:r>
        <w:t>Führerausweisentzug | Strassenbau und Strassenverkehr</w:t>
      </w:r>
    </w:p>
    <w:p>
      <w:pPr>
        <w:pStyle w:val="Heading2"/>
      </w:pPr>
      <w:r>
        <w:t>Erwägungen</w:t>
      </w:r>
    </w:p>
    <w:p>
      <w:r>
        <w:rPr>
          <w:b/>
        </w:rPr>
        <w:t>E. 1</w:t>
      </w:r>
    </w:p>
    <w:p>
      <w:r>
        <w:t>Angefochten ist ein Entscheid über einen Führerausweisentzug. Dagegen steht die Beschwerde in öffentlich-rechtlichen Angelegenheiten nach Art. 82 ff. BGG offen; eine Ausnahme nach Art. 83 BGG liegt nicht vor. Die Beschwerde, nach Treu und Glauben ausgelegt, richtet sich gegen den Entscheid des Verwaltungsgerichts, welcher die Verfügung des Strassenverkehrsamts ersetzt hat (vgl. Art. 86 Abs. 1 lit. d BGG ; BGE 134 II 142 E. 1.4 S. 144; 123 V 335 E. 1 S. 336 ff.; je mit Hinweisen). Auf die Beschwerde ist einzutreten.</w:t>
      </w:r>
    </w:p>
    <w:p>
      <w:r>
        <w:rPr>
          <w:b/>
        </w:rPr>
        <w:t>E. 2.1</w:t>
      </w:r>
    </w:p>
    <w:p>
      <w:r>
        <w:t>Der Beschwerdeführer rügt, die Verfügung vom 9. September 2008, welche im aktuellen Verfahren bewirke, dass Art. 16a Abs. 2 SVG zur Anwendung komme, sei zu spät ergangen. Es könne nicht sein, dass eine Verfügung erst drei Jahre und drei Monate nach der Widerhandlung bzw. zwei Jahre und sieben Monate nach dem rechtskräftigen Strafbefehl erlassen werde. Die in Art. 16a Abs. 2 SVG vorgesehene Regelung, gemäss welcher nach einer leichten Widerhandlung der Lernfahr- oder Führerausweis für mindestens einen Monat entzogen wird, wenn in den vorangegangenen zwei Jahren der Ausweis entzogen war oder eine andere Administrativmassnahme verfügt wurde, müsse eigentlich an die Widerhandlung anknüpfen. Die frühere Widerhandlung sei am 13. Juni 2005 erfolgt. Er sei also während vier Jahren und acht Monaten korrekt gefahren. Vor diesem Hintergrund könne lediglich eine Verwarnung ausgesprochen werden.</w:t>
      </w:r>
    </w:p>
    <w:p>
      <w:r>
        <w:rPr>
          <w:b/>
        </w:rPr>
        <w:t>E. 2.2</w:t>
      </w:r>
    </w:p>
    <w:p>
      <w:r>
        <w:t>Die Vorinstanz legte dar, die zu beurteilende fehlbare Handlung sei am 17. März 2010 erfolgt. Zuvor sei dem Beschwerdeführer der Führerausweis nach einer schweren Widerhandlung gegen die Verkehrsvorschriften letztmals am 9. September 2008 entzogen worden. Dieser Entzug sei infolge eines beantragten Vollzugsaufschubs vom 22. Mai 2009 bis zum 21. August 2009 vollzogen worden. Nach der in Art. 16a Abs. 2 SVG vorgesehenen Zweijahresfrist habe nun zwingend ein Führerausweisentzug zu erfolgen. In Bezug auf die Verfügung vom 9. September 2008 stimmt die Vorinstanz der Kritik des Beschwerdeführers zu. Tatsächlich sei in jenem Verfahren sein Anspruch auf Beurteilung innert angemessener Frist verletzt worden. Diesen Mangel hätte er jedoch damals geltend machen müssen. Da er dies nicht getan habe, sei jene Verfügung in Rechtskraft erwachsen. Anzumerken bleibe, dass im aktuellen Fall die Verfahrensdauer kurz gewesen sei und der Beschwerdeführer sich aufgrund seiner diversen Verstösse gegen das Strassenverkehrsrecht über die Konsequenzen einer erneuten Widerhandlung habe im Klaren sein müssen. In den letzten gut 20 Jahren seien insgesamt zehn Administrativmassnahmen gegen ihn erlassen worden. Er müsse deshalb als notorischer Verkehrssünder bezeichnet werden, weshalb eine Entzugsdauer von zwei Monaten angemessen sei.</w:t>
      </w:r>
    </w:p>
    <w:p>
      <w:r>
        <w:rPr>
          <w:b/>
        </w:rPr>
        <w:t>E. 2.3</w:t>
      </w:r>
    </w:p>
    <w:p>
      <w:r>
        <w:t>Die Verfügung vom 9. September 2008 ist rechtskräftig und bildet nicht direkt Gegenstand der vorliegenden Beschwerde. Die vom Beschwerdeführer aufgeworfene Frage betrifft vielmehr die in Art. 16a Abs. 2 SVG statuierte Frist von zwei Jahren. Nach dem klaren Wortlaut der Bestimmung ist massgebend, ob "in den vorangegangenen zwei Jahren der Ausweis entzogen war". Abzustellen ist demnach auf den Vollzug des Führerausweisentzugs. Der Wortlaut entspricht auch dem Sinn der Bestimmung, denn es ist der Führerausweisentzug - und selbstverständlich nicht die Widerhandlung - von welchem eine Warnwirkung ausgehen soll. Entfaltet der Führerausweisentzug, in diesem Zusammenhang auch Warnungsentzug genannt, seine Wirkung insoweit unzureichend, als innert zwei Jahren nach dessen Vollzug der Fehlbare erneut eine Widerhandlung begeht, so führt dies nach Art. 16a Abs. 2 SVG automatisch zu einer Verschärfung der Sanktion. Die Auslegung von Art. 16a Abs. 2 SVG durch das Verwaltungsgericht ist nicht zu beanstanden (vgl. auch etwa die Urteile 1C_180/2010 vom 22. September 2010 E. 2, 1C_275/2007 vom 16. Mai 2008 E. 4.3.3 und 6A.114/2006 vom 27. Januar 2007 E. 3.2, wo das Bundesgericht ebenfalls auf den Vollzug des Führerausweisentzugs abgestellt hat). Die Rüge des Beschwerdeführers ist unbegründet.</w:t>
      </w:r>
    </w:p>
    <w:p>
      <w:r>
        <w:rPr>
          <w:b/>
        </w:rPr>
        <w:t>E. 3</w:t>
      </w:r>
    </w:p>
    <w:p>
      <w:r>
        <w:t>Die Beschwerde ist nach dem Gesagten abzuweisen.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