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105/2010 vom 12. April 2010</w:t>
      </w:r>
    </w:p>
    <w:p>
      <w:r>
        <w:t>Bundesgericht, 2010-04-12, FR</w:t>
      </w:r>
    </w:p>
    <w:p>
      <w:r>
        <w:rPr>
          <w:b/>
        </w:rPr>
        <w:t xml:space="preserve">Quelle: </w:t>
      </w:r>
      <w:r>
        <w:t>https://mcp.opencaselaw.ch/entscheid/bger_1C_105_2010</w:t>
      </w:r>
    </w:p>
    <w:p>
      <w:r>
        <w:t>FR: TF 1C 105/2010 du 12 avril 2010</w:t>
      </w:r>
    </w:p>
    <w:p>
      <w:r>
        <w:t>IT: TF 1C 105/2010 del 12 aprile 2010</w:t>
      </w:r>
    </w:p>
    <w:p>
      <w:pPr>
        <w:pStyle w:val="Heading2"/>
      </w:pPr>
      <w:r>
        <w:t>Regeste</w:t>
      </w:r>
    </w:p>
    <w:p>
      <w:r>
        <w:t>entraide judiciaire internationale en matière pénale à la République française | Entraide et extradition</w:t>
      </w:r>
    </w:p>
    <w:p>
      <w:pPr>
        <w:pStyle w:val="Heading2"/>
      </w:pPr>
      <w:r>
        <w:t>Erwägungen</w:t>
      </w:r>
    </w:p>
    <w:p>
      <w:r>
        <w:rPr>
          <w:b/>
        </w:rPr>
        <w:t>E. 1</w:t>
      </w:r>
    </w:p>
    <w:p>
      <w:r>
        <w:t>Le recours en matière de droit public peut être formé contre un arrêt rendu par le TPF en matière d'entraide pénale internationale, s'il a notamment pour objet la transmission de renseignements concernant le domaine secret (ce qui est le cas en l'occurrence), et s'il concerne un cas particulièrement important ( art. 84 al. 1 LTF ). 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ou quand le TPF s'est écarté de la jurisprudence suivie jusque-là ( ATF 133 IV 215 consid. 1.2 p. 218).</w:t>
      </w:r>
    </w:p>
    <w:p>
      <w:r>
        <w:rPr>
          <w:b/>
        </w:rPr>
        <w:t>E. 1.1</w:t>
      </w:r>
    </w:p>
    <w:p>
      <w:r>
        <w:t>En l'occurrence, il n'est pas prétendu que la procédure à l'étranger présenterait des vices graves au sens de l' art. 84 al. 2 LTF . Toutefois, le recours de l'OFJ porte sur la question de savoir si, et à quelles conditions l'entraide judiciaire pénale peut être accordée lorsqu'elle est requise afin de déterminer le montant d'une caution, dans le cadre d'une procédure de mise en liberté provisoire. Il s'agit là d'une question de principe, ce qui justifie d'entrer en matière.</w:t>
      </w:r>
    </w:p>
    <w:p>
      <w:r>
        <w:rPr>
          <w:b/>
        </w:rPr>
        <w:t>E. 1.2</w:t>
      </w:r>
    </w:p>
    <w:p>
      <w:r>
        <w:t>L'OFJ est chargé, en tant qu'autorité de surveillance, de veiller à une application correcte du droit fédéral. Il a, à ce titre, qualité pour agir en vertu des art. 25 al. 3 EIMP et 89 al. 2 let. a LTF (ATF 1C_454/2009 du 9 décembre 2009).</w:t>
      </w:r>
    </w:p>
    <w:p>
      <w:r>
        <w:rPr>
          <w:b/>
        </w:rPr>
        <w:t>E. 2</w:t>
      </w:r>
    </w:p>
    <w:p>
      <w:r>
        <w:t>L'office recourant considère que l'énumération des cas d'entraide figurant à l'art. 63 de la loi fédérale sur l'entraide internationale en matière pénale (EIMP; RS 351.1) ne serait pas exhaustive. La fixation de la caution à fournir par un détenu ferait partie des procédures pénales pour lesquelles la collaboration devrait être accordée. La Cour des plaintes aurait dû trancher la question. Selon la Cour des plaintes, l'entraide judiciaire ne pourrait être accordée dans un tel cas sur la base de la Convention européenne d'entraide judiciaire en matière pénale (CEEJ; RS 0.351.1), de son deuxième protocole additionnel (RS 0.351.12), et de la Convention d'application de l'Accord Schengen du 14 juin 1985 entrée en vigueur pour la Suisse le 12 décembre 2008 (CAAS; n° CELEX 42000A0922(02)). En revanche (bien qu'elle prétende dans sa réponse au recours avoir tranché la question par la négative), la Cour des plaintes a estimé que l'on ne pouvait a priori exclure l'octroi de l'entraide sur la base de l' art. 63 al. 3 EIMP , mais que la transmission par voie d'entraide de données bancaires à seule fin de fixer le montant d'une caution violait à plusieurs égards le principe de la proportionnalité. Les deux questions doivent être examinées successivement.</w:t>
      </w:r>
    </w:p>
    <w:p>
      <w:r>
        <w:rPr>
          <w:b/>
        </w:rPr>
        <w:t>E. 3</w:t>
      </w:r>
    </w:p>
    <w:p>
      <w:r>
        <w:t>L'arrêt attaqué retient que l'entraide judiciaire ne peut être accordée sur la base de la CEEJ. L' art. 1 al. 2 CEEJ précise en effet expressément que la Convention ne s'applique pas "à l'exécution des décisions d'arrestation et des condamnations". L'accord conclu le 28 octobre 1996 entre la France et la Suisse en vue de compléter la CEEJ (RS 0.351.934.92) étend le champ d'application de la CEEJ aux affaires concernant le sursis à l'exécution d'une peine ou d'une mesure, la libération conditionnelle, le renvoi ou l'interruption de l'exécution d'une peine ou d'une mesure, ainsi que les procédures de grâce ou d'indemnisation pour détention injustifiée (art. I al. 2). Il s'agit de questions relevant exclusivement de l'exécution des condamnations; l'accord ne s'applique pas aux mesures prises antérieurement, en particulier au stade de la détention préventive. Quant à l'art. 49 CAAS, qui vient également compléter et étendre le champ d'application de la CEEJ (cf. art. 48 CAAS), il ne va pas plus loin que l'accord sur ce point. L'OFJ ne conteste d'ailleurs pas que l'entraide judiciaire ne peut pas être accordée sur la base du droit conventionnel pour les besoins d'une procédure relative à la seule détention préventive.</w:t>
      </w:r>
    </w:p>
    <w:p>
      <w:r>
        <w:rPr>
          <w:b/>
        </w:rPr>
        <w:t>E. 3.1</w:t>
      </w:r>
    </w:p>
    <w:p>
      <w:r>
        <w:t>Si le droit conventionnel ne prévoit pas expressément un certain mode de collaboration, cela n'empêche pas la Suisse de l'accorder en vertu des dispositions de son droit interne, soit de l'EIMP. La jurisprudence constante permet en effet l'application du droit interne lorsque celui-ci apparaît plus favorable à la coopération que le droit conventionnel ( ATF 123 II 134 consid. 1a p. 136; 122 II 140 consid. 2 p. 142; 120 Ib 120 consid. 1a p. 122/123, 189 consid. 2a p. 191/192; 118 Ib 269 consid. 1a p. 271, et les arrêts cités).</w:t>
      </w:r>
    </w:p>
    <w:p>
      <w:r>
        <w:rPr>
          <w:b/>
        </w:rPr>
        <w:t>E. 3.2</w:t>
      </w:r>
    </w:p>
    <w:p>
      <w:r>
        <w:t>Selon l' art. 1 al. 1 let. b EIMP , la loi règle toutes les procédures relatives à la coopération internationale en matière pénale, soit notamment l'entraide "en faveur d'une procédure pénale étrangère" ("zur Unterstützung eines Strafverfahrens im Ausland"). Cette matière est régie à la troisième partie de la loi (art. 63 ss). Selon l' art. 63 al. 1 EIMP , l'entraide comprend la communication de renseignements "lorsqu'ils paraissent nécessaires à la procédure menée à l'étranger et liée à une cause pénale" ("... für ein Verfahren in strafrechtlichen Angelegenheiten im Ausland ..."). Selon l' art. 63 al. 3 EIMP , par procédure liée à une cause pénale, il faut entendre notamment la poursuite d'infractions (let. a), les mesures administratives à l'égard de l'auteur d'une infraction (let. b), l'exécution de jugements pénaux et la grâce (let. c) ainsi que la réparation pour détention injustifiée (let. d).</w:t>
      </w:r>
    </w:p>
    <w:p>
      <w:r>
        <w:rPr>
          <w:b/>
        </w:rPr>
        <w:t>E. 3.3</w:t>
      </w:r>
    </w:p>
    <w:p>
      <w:r>
        <w:t>La formulation de l' art. 63 al. 1 EIMP et le caractère exemplatif de l' art. 63 al. 3 EIMP font clairement ressortir que la notion de procédure "liée à une cause pénale" doit être comprise dans un sens élargi. La jurisprudence considère ainsi qu'il n'est pas nécessaire qu'une inculpation ou une mise en accusation formelle ait été prononcée; une enquête préliminaire suffit, pour autant qu'elle puisse aboutir au renvoi d'accusés devant un tribunal compétent pour réprimer les infractions à raison desquelles l'entraide est demandée ( ATF 123 II 161 consid. 3a p. 165; 118 Ib 457 consid. 4b p. 460; 116 Ib 452 consid. 3a p. 460/461,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113 Ib 257 consid. 5 p. 271). Les renseignements transmis par la Suisse peuvent également servir à des procédures connexes à la procédure pénale, par exemple une procédure civile destinée à indemniser la victime de l'infraction ( ATF 122 II 134 consid. 7 p. 136) ou à confisquer civilement le produit de l'infraction ( ATF 132 II 178 ), une enquête menée par une commission parlementaire ( ATF 126 II 316 consid. 4 p. 322), voire une procédure administrative destinée à résoudre une question préjudicielle décisive pour le procès pénal ( ATF 128 II 305 ).</w:t>
      </w:r>
    </w:p>
    <w:p>
      <w:r>
        <w:rPr>
          <w:b/>
        </w:rPr>
        <w:t>E. 3.4</w:t>
      </w:r>
    </w:p>
    <w:p>
      <w:r>
        <w:t>La détention préventive est incontestablement une mesure de caractère pénal. Elle n'est d'ailleurs ordonnée qu'en relation avec une compétence répressive dans l'Etat requérant (cf. ATF 132 II 178 consid. 5 p. 186), et en présence de raisons plausibles de soupçonner la commission d'une infraction. Elle tend notamment à garantir la présence du prévenu aux actes d'instruction (cf. notamment l' art. 5 par. 1 let . c CEDH). En ce sens, elle tend à assurer le bon déroulement de l'instruction pénale dont elle constitue un aspect indissociable. Une détention injustifiée ou disproportionnée constitue par ailleurs un vice qui entache la procédure dans son ensemble et peut également, sous cet angle, avoir des incidences sur le fond de la cause. Il y a donc lieu de considérer la procédure relative à la détention préventive comme une cause de caractère pénal et judiciaire permettant l'octroi de l'entraide au sens de l' art. 63 EIMP .</w:t>
      </w:r>
    </w:p>
    <w:p>
      <w:r>
        <w:rPr>
          <w:b/>
        </w:rPr>
        <w:t>E. 4</w:t>
      </w:r>
    </w:p>
    <w:p>
      <w:r>
        <w:t>L'OFJ relève ensuite que la question de savoir si les renseignements requis sont utiles à la procédure étrangère, doit être laissée à l'appréciation de l'autorité requérante. Dans la perspective de la fixation de la caution, les renseignements transmis présenteraient en tout cas une utilité potentielle.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4.2</w:t>
      </w:r>
    </w:p>
    <w:p>
      <w:r>
        <w:t>La demande d'entraide, du 12 août 2009, expose qu'une procédure pénale est actuellement ouverte contre A.________, son chauffeur et le fils de celui-ci, pour trafic de stupéfiants et blanchiment d'argent. A.________ était détenu depuis le 26 janvier 2009. Le Juge d'instruction avait ordonné sa mise en liberté moyennant le versement d'une caution de 1,5 million d'euros. Cette somme n'avait pas été versée et le détenu avait déposé une demande de modification du montant de la caution. Selon les indications fournies par son avocat en Suisse, ses actifs s'élevaient à 1,8 million d'euros, et étaient nantis en faveur d'une banque, en garantie de crédits. Le Juge français demande confirmation de ces affirmations. Le cas échéant, il demande que soient précisés le ou les comptes bancaires concernés par le nantissement. Il désire aussi savoir si les autorités suisses sont en possession de l'ensemble des comptes dont A.________ est le bénéficiaire économique, et si ce dernier serait titulaire d'autres comptes en Suisse ou à l'étranger.</w:t>
      </w:r>
    </w:p>
    <w:p>
      <w:r>
        <w:rPr>
          <w:b/>
        </w:rPr>
        <w:t>E. 4.3</w:t>
      </w:r>
    </w:p>
    <w:p>
      <w:r>
        <w:t>Dans la perspective de la fixation d'une caution, la demande du magistrat étranger apparaît proportionnée. En effet, lorsqu'une libération sous caution est envisagée (art. 5 par. 3 in fine CEDH), le montant de la caution doit être déterminé avec soin: il doit être suffisamment élevé pour dissuader l'intéressé de prendre la fuite, mais ne doit pas apparaître prohibitif. L'autorité compétente doit ainsi tenir compte de l'ensemble des circonstances, de la situation financière et des relations du prévenu, ainsi que, le cas échéant, des montants en rapport avec les infractions poursuivies (cf. notamment CourEDH, arrêt du 25 avril 2000 dans la cause Punzelt contre République Tchèque, § 85 ss).</w:t>
      </w:r>
    </w:p>
    <w:p>
      <w:r>
        <w:rPr>
          <w:b/>
        </w:rPr>
        <w:t>E. 4.4</w:t>
      </w:r>
    </w:p>
    <w:p>
      <w:r>
        <w:t>La Cour des plaintes a estimé qu'il était douteux que les informations bancaires requises soient propres à établir de façon certaine la situation économique de l'intéressé. Elle méconnaît ainsi que l'entraide judiciaire est régie par le principe de l'utilité potentielle et que seuls les documents n'ayant manifestement aucune utilité pour l'autorité étrangère ne doivent pas être transmis ( ATF 122 II 367 consid. 2c p. 371). L'entraide doit en revanche être accordée lorsque les renseignements requis sont susceptibles d'apporter des éclaircissements propres à faire progresser l'enquête en cours. Il n'est en revanche pas nécessaire que ces renseignements apportent des réponses exhaustives et définitives aux questions soulevées. En l'occurrence, les renseignements bancaires paraissent propres à confirmer ou à infirmer une partie au moins des affirmations du prévenu à propos des avoirs dont il peut disposer. Sous l'angle de la proportionnalité, il est indifférent que l'autorité requérante puisse se procurer d'une autre manière les renseignements qu'elle demande par voie d'entraide. L'autorité suisse requise n'a pas en effet à se prononcer sur la manière dont la cause est instruite à l'étranger. Contrairement à ce que retient la Cour des plaintes, l'autorité étrangère qui désire connaître la situation financière du prévenu pour fixer le montant de sa caution, ne saurait se satisfaire des seules explications du prévenu ou des pièces que celui-ci serait invité à produire, en particulier lorsqu'il se trouve soupçonné d'actes de blanchiment d'argent. Le fait qu'une précédente demande d'entraide ait été retirée par l'autorité requérante n'a pas non plus d'incidence puisque la nouvelle demande est formée dans un contexte distinct et porte sur une documentation réduite. La décision de clôture ne porte que sur une liste de comptes dont A.________ "pourrait être" le titulaire ou l'ayant droit économique. Cette liste, établie sur la base des éléments de l'enquête nationale et des pièces d'exécution des précédentes commissions rogatoires, se limite à l'énoncé des comptes et des établissements concernés, à l'identité des titulaires, ainsi qu'aux dates d'ouverture et le cas échéant de clôture. Il n'est fait aucune mention des montants déposés, et les extraits de comptes n'ont pas été produits. Le principe de la proportionnalité est dès lors respecté, de ce point de vue également. Les intimés n'ont d'ailleurs soulevé aucun grief à ce sujet dans leur recours à la Cour des plaintes.</w:t>
      </w:r>
    </w:p>
    <w:p>
      <w:r>
        <w:rPr>
          <w:b/>
        </w:rPr>
        <w:t>E. 5</w:t>
      </w:r>
    </w:p>
    <w:p>
      <w:r>
        <w:t>Sur le vu de ce qui précède, c'est à tort que l'entraide judiciaire a été refusée par la Cour des plaintes. Le recours doit donc être admis. Selon l' art. 107 al. 2 LTF , dans un tel cas, le Tribunal fédéral peut soit statuer lui-même, soit renvoyer la cause à l'autorité précédente pour nouvelle décision. En l'occurrence, il apparaît que les arguments soumis à la Cour des plaintes doivent tous être écartés, de sorte que les recours formés devant cette autorité doivent être rejetés. La cause est renvoyée à la Cour des plaintes pour nouvelle décision sur les frais et dépens. Conformément à l' art. 66 al. 1 LTF , les frais judiciaires pour la procédure devant le Tribunal fédéral sont mis à la charge solidaire des intimés,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