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1C_105/2008 vom 19. März 2008</w:t>
      </w:r>
    </w:p>
    <w:p>
      <w:r>
        <w:t>Bundesgericht, 2008-03-19, IT</w:t>
      </w:r>
    </w:p>
    <w:p>
      <w:r>
        <w:rPr>
          <w:b/>
        </w:rPr>
        <w:t xml:space="preserve">Quelle: </w:t>
      </w:r>
      <w:r>
        <w:t>https://mcp.opencaselaw.ch/entscheid/bger_1C_105_2008</w:t>
      </w:r>
    </w:p>
    <w:p>
      <w:r>
        <w:t>FR: TF 1C_105/2008 du 19 mars 2008</w:t>
      </w:r>
    </w:p>
    <w:p>
      <w:r>
        <w:t>IT: TF 1C_105/2008 del 19 marzo 2008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esamina d'ufficio la sua competenza ( art. 29 cpv. 1 LTF ). Esso vaglia quindi d'ufficio se e in che misura un ricorso può essere esaminato nel merito ( DTF 133 II 353 consid. 1, 249 consid. 1.1). Non spetta infatti all'autorità cantonale, ma soltanto al Tribunale federale pronunciarsi sull'ammissibilità dei ricorsi sottopostigli ( DTF 121 I 173 consid. 2a in fine; cfr. al riguardo sentenza 1C_104/2008 del 13 marzo 2008).</w:t>
      </w:r>
    </w:p>
    <w:p>
      <w:r>
        <w:rPr>
          <w:b/>
        </w:rPr>
        <w:t>E. 1.2</w:t>
      </w:r>
    </w:p>
    <w:p>
      <w:r>
        <w:t>Nella fattispecie la competenza del Tribunale federale a esaminare, se del caso quale ricorso concernente il diritto di voto dei cittadini nonché le elezioni e votazioni popolari ai sensi dell'art. 82 lett. c LTF, lo scritto del Gruppo Lega / Stabio 2000 è manifesta (vedi sentenza 1C_37/2008 del 18 marzo 2008 concernente la medesima risoluzione governativa). Giova osservare d'altra parte che il gruppo ricorrente non ha impugnato la decisione d'irricevibilità emanata dalla Corte cantonale.</w:t>
      </w:r>
    </w:p>
    <w:p>
      <w:r>
        <w:rPr>
          <w:b/>
        </w:rPr>
        <w:t>E. 2.1</w:t>
      </w:r>
    </w:p>
    <w:p>
      <w:r>
        <w:t>Nel quadro di un ricorso per violazione del diritto di voto secondo il previgente art. 85 lett. a OG , il diritto di ricorrere spettava, oltre al cittadino attivo, anche a un partito politico, qualora dimostrasse di essere costituito come persona giuridica e d'essere attivo nel Cantone o nel Comune interessato ( DTF 130 I 290 consid. 1.3). La legittimazione è stata quindi riconosciuta alla Lega dei ticinesi, associazione politica, organizzata come tale e dotata di statuti, attiva nel Cantone ( DTF 121 I 357 consid. 2a). Visto l'esito del gravame, la questione di sapere se la legittimazione debba essere riconosciuta anche al gruppo ricorrente e se esso debba essere costituito quale persona giuridica, con relativi statuti, non dev'essere esaminata oltre (cfr. Gerold Steinmann, Basler Kommentar BGG, n. 73 all'art. 89). È nondimeno manifesto che il ricorrente non è legittimato a insorgere contro il differimento delle elezioni in un altro Comune, segnatamente a Ligornetto.</w:t>
      </w:r>
    </w:p>
    <w:p>
      <w:r>
        <w:rPr>
          <w:b/>
        </w:rPr>
        <w:t>E. 2.2</w:t>
      </w:r>
    </w:p>
    <w:p>
      <w:r>
        <w:t>Nel citato scritto, il gruppo ricorrente si limita ad accennare all'art. 11 cpv. 3 LASC e a rilevare che ai cittadini dei due Comuni interessati non è stata ancora data la possibilità di esprimersi in votazione consultiva, per cui la criticata risoluzione non parrebbe essere corretta.</w:t>
      </w:r>
    </w:p>
    <w:p>
      <w:r>
        <w:rPr>
          <w:b/>
        </w:rPr>
        <w:t>E. 2.2.1</w:t>
      </w:r>
    </w:p>
    <w:p>
      <w:r>
        <w:t>Secondo l' art. 42 LTF il ricorso deve contenere le conclusioni, i motivi e l'indicazione dei mezzi di prova (cpv. 1) e dev'essere motivato in modo - seppure conciso - sufficiente, spiegando nei motivi perché l'atto impugnato viola il diritto (cpv. 2), analogamente all'obbligo di motivazione inerente all' art. 90 cpv. 1 lett. b OG ( DTF 133 II 249 consid. 1.4.1 e 1.4.2; 133 IV 286 consid. 1.4; sentenza 1C_27/2007 del 21 marzo 2007). Il Tribunale federale esamina in linea di principio solo le censure sollevate; esso non è tenuto a vagliare, come lo farebbe un'autorità di prima istanza, tutte le questioni giuridiche che si pongono, se quest'ultime non sono presentate nella sede federale.</w:t>
      </w:r>
    </w:p>
    <w:p>
      <w:r>
        <w:rPr>
          <w:b/>
        </w:rPr>
        <w:t>E. 2.2.2</w:t>
      </w:r>
    </w:p>
    <w:p>
      <w:r>
        <w:t>Lo scritto in esame non adempie manifestamente le citate esigenze di motivazione e non può quindi essere esaminato nel merito. Ciò contrariamente al ricorso presentato contro la medesima risoluzione governativa concernente il differimento delle elezioni comunali nel Comune di Mezzovico-Vira, nel quale i ricorrenti hanno compiutamente motivato, con numerosi, pertinenti e fondati argomenti, il loro gravame, che è stato accolto (sentenza 1C_37/2008 del 18 marzo 2007 consid. 2.2-2.2.3).</w:t>
      </w:r>
    </w:p>
    <w:p>
      <w:r>
        <w:rPr>
          <w:b/>
        </w:rPr>
        <w:t>E. 3</w:t>
      </w:r>
    </w:p>
    <w:p>
      <w:r>
        <w:t>Ne segue che il ricorso dev'essere dichiarato inammissibile per carenza di motivazione. Le spese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