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1C_104/2014 vom 27. März 2014</w:t>
      </w:r>
    </w:p>
    <w:p>
      <w:r>
        <w:t>Bundesgericht, 2014-03-27, FR</w:t>
      </w:r>
    </w:p>
    <w:p>
      <w:r>
        <w:rPr>
          <w:b/>
        </w:rPr>
        <w:t xml:space="preserve">Quelle: </w:t>
      </w:r>
      <w:r>
        <w:t>https://mcp.opencaselaw.ch/entscheid/bger_1C_104_2014</w:t>
      </w:r>
    </w:p>
    <w:p>
      <w:r>
        <w:t>FR: TF 1C_104/2014 du 27 mars 2014</w:t>
      </w:r>
    </w:p>
    <w:p>
      <w:r>
        <w:t>IT: TF 1C_104/2014 del 27 marzo 2014</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lorsque celui-ci a pour objet une extradition.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1.1</w:t>
      </w:r>
    </w:p>
    <w:p>
      <w:r>
        <w:t>Le recourant relève que la disposition du CPR invoquée en premier lieu par l'autorité requérante (l'art. 188 al. 4 réprimant la contrebande) a été remplacé par l'art. 226.1, qui fixait une valeur seuil des biens illégalement exportés. Au 3 avril 2013, cette valeur était de un million de roubles (soit environ 26'000 fr.), et elle a été abaissée par la suite à 100'000 roubles. En vertu du principe de la "lex mitior" applicable en droit russe, la disposition la plus favorable devrait s'appliquer et il y aurait lieu dès lors de définir la valeur des objets exportés.</w:t>
      </w:r>
    </w:p>
    <w:p>
      <w:r>
        <w:t>Il n'est pas contesté que les actes de contrebande étaient, tant au moment de leur commission qu'au moment où l'extradition a été requise, punissables selon le droit de l'Etat requérant, conformément aux exigences de l' art. 35 EIMP . Pour le surplus, l'existence d'un seuil minimal fait partie des conditions particulières de répression dont le juge de l'extradition ne tient pas compte lorsqu'il s'agit d'examiner la punissabilité selon le droit suisse ( art. 35 al. 2 EIMP ) et, a fortiori selon le droit étranger. Comme le relève l'arrêt attaqué, la valeur des objets exportés est une question de fait qui devra être examinée par le juge du fond, de même que l'application de la "lex mitior". Compte tenu du nombre d'objets (comprenant notamment des armes et des bijoux, décrits dans le détail par l'autorité requérante) et de l'ampleur de l'organisation mise sur pied par le recourant, rien ne permet de douter que la limite - même la plus élevée - posée par le droit étranger ne serait pas atteinte. Il ne s'agit, quoi qu'il en soit, pas d'une question de principe.</w:t>
      </w:r>
    </w:p>
    <w:p>
      <w:r>
        <w:rPr>
          <w:b/>
        </w:rPr>
        <w:t>E. 1.2</w:t>
      </w:r>
    </w:p>
    <w:p>
      <w:r>
        <w:t>Se référant à un arrêt pilote de la Cour européenne des droits de l'homme (arrêt Ananyev contre Russie du 10 janvier 2012), le recourant estime que le système pénitentiaire russe dans son ensemble ne garantirait pas des conditions de détention acceptables au regard de l' art. 3 CEDH . Les tribunaux anglais refuseraient désormais toute extradition vers la Russie. L'acceptation par la Suisse de garanties diplomatiques reviendrait à cautionner cette situation et n'inciterait pas l'Etat requérant à y remédier. Le Tribunal fédéral aurait déjà admis l'existence d'un cas particulièrement important s'agissant des conditions de détention lors d'une extradition à la Russie.</w:t>
      </w:r>
    </w:p>
    <w:p>
      <w:r>
        <w:t>L'arrêt auquel le recourant fait référence ( ATF 134 IV 156 consid. 1.3) constitue une décision de principe par laquelle le Tribunal fédéral a accordé l'extradition à la Russie moyennant l'octroi de garanties diplomatiques (consid. 6 p. 162). Depuis lors, la jurisprudence s'en tient à cet arrêt de principe, en dépit des critiques et condamnations à l'égard de l'Etat requérant, s'agissant de son système pénitentiaire (arrêt 1C_315/2011 du 1er septembre 2011, 1C_873/2013 du 6 décembre 2013; cf. aussi l'arrêt 1C_559/2011 du 7 mars 2012 concernant l'extradition à la Serbie). L'arrêt précité de la CourEDH ne vient rien changer à cette appréciation. Contrairement à ce que soutient le recourant, l'octroi de l'extradition soumise à des conditions oblige l'Etat requérant au respect de conditions minimales dans un cas particulier, et ne dispense donc pas l'Etat requérant de procéder aux réformes nécessaires. Jusqu'à présent, il n'apparaît pas que les autorités russes auraient failli à leurs engagements à ce propos, ce qui constitue un motif sérieux de croire au respect des garanties offertes par les autorités requérantes dans le cas particulier.</w:t>
      </w:r>
    </w:p>
    <w:p>
      <w:r>
        <w:t>Le présent cas se rapporte à de purs délits de droit commun, sans comparaison possible avec les faits qui sont notamment à la base du refus de l'entraide judiciaire dans le cadre de l'affaire X.________ (arrêt 1A.29/2007 du 13 août 2007). L'extradition du recourant a également été subordonnée à un droit de contrôle de la part de la représentation diplomatique suisse, ce qui constitue une garantie supplémentaire. Le libellé de ce droit de contrôle permet aux autorités diplomatiques suisses d'effectuer des visites sans limitation et sans préavis; cela implique également que la représentation diplomatique soit informée le moment venu du lieu de détention. Les assurances données par l'Etat requérant n'ont donc pas à être complétées.</w:t>
      </w:r>
    </w:p>
    <w:p>
      <w:r>
        <w:t>Le recourant évoque enfin, dans ses dernières déterminations, les événements survenus récemment en Crimée, mais ceux-ci sont sans incidence sur la situation carcérale en Russie.</w:t>
      </w:r>
    </w:p>
    <w:p>
      <w:r>
        <w:rPr>
          <w:b/>
        </w:rPr>
        <w:t>E. 2</w:t>
      </w:r>
    </w:p>
    <w:p>
      <w:r>
        <w:t>L'importance particulière du présent cas n'est pas établie, de sorte que le recours est irrecevable. Le recourant a demande à être dispensé du paiement d'une avance de frais, mais n'a pas requis l'assistance judiciaire. Conformément à l' art. 66 al. 1 LTF , les frais judiciaires sont donc mis à sa charge. Le présent arrêt est rendu selon la procédure simplifiée de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