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1C_104/2009 vom 26. Mai 2009</w:t>
      </w:r>
    </w:p>
    <w:p>
      <w:r>
        <w:t>Bundesgericht, 2009-05-26, FR</w:t>
      </w:r>
    </w:p>
    <w:p>
      <w:r>
        <w:rPr>
          <w:b/>
        </w:rPr>
        <w:t xml:space="preserve">Quelle: </w:t>
      </w:r>
      <w:r>
        <w:t>https://mcp.opencaselaw.ch/entscheid/bger_1C_104_2009</w:t>
      </w:r>
    </w:p>
    <w:p>
      <w:r>
        <w:t>FR: TF 1C_104/2009 du 26 mai 2009</w:t>
      </w:r>
    </w:p>
    <w:p>
      <w:r>
        <w:t>IT: TF 1C_104/2009 del 26 maggio 2009</w:t>
      </w:r>
    </w:p>
    <w:p>
      <w:pPr>
        <w:pStyle w:val="Heading2"/>
      </w:pPr>
      <w:r>
        <w:t>Erwägungen</w:t>
      </w:r>
    </w:p>
    <w:p>
      <w:r>
        <w:rPr>
          <w:b/>
        </w:rPr>
        <w:t>E. 1</w:t>
      </w:r>
    </w:p>
    <w:p>
      <w:r>
        <w:t>La voie du recours en matière de droit public, au sens des art. 82 ss LTF , est ouverte contre une décision de dernière instance cantonale au sujet d'une mesure administrative de retrait du permis de conduire. Le recourant a qualité pour agir au sens de l' art. 89 al. 1 let. a et b LTF . Le recours est formé en temps utile contre une décision finale prise en dernière instance cantonale non susceptible de recours devant le Tribunal administratif fédéral; il est recevable au regard des art. 42, 86 al. 1 let . d, 90 et 100 al. 1 LTF.</w:t>
      </w:r>
    </w:p>
    <w:p>
      <w:r>
        <w:rPr>
          <w:b/>
        </w:rPr>
        <w:t>E. 2</w:t>
      </w:r>
    </w:p>
    <w:p>
      <w:r>
        <w:t>Le recourant se plaint d'une constatation arbitraire des faits par la cour cantonale. Il n'aurait pas reconnu sans réserve les faits retenus dans le rapport de police. Par ailleurs, l'estimation de la distance par les policiers qui l'ont suivi serait sujette à caution, car sa remorque rendait quasiment nulle la visibilité. Rien ne permettrait d'affirmer que les policiers se seraient déplacés sur la piste de gauche. Dans ces circonstances, le simple témoignage des policiers ne serait pas une preuve suffisante.</w:t>
      </w:r>
    </w:p>
    <w:p>
      <w:r>
        <w:rPr>
          <w:b/>
        </w:rPr>
        <w:t>E. 2.1</w:t>
      </w:r>
    </w:p>
    <w:p>
      <w:r>
        <w:t>Selon la pratique constante, les autorités administratives appelées à prononcer un retrait du permis de conduire ne peuvent en principe pas s'écarter des constatations de fait d'un jugement pénal entré en force ( ATF 123 II 97 consid. 3c/aa p. 104; 119 Ib 158 consid. 3c/aa p. 164; 109 Ib 203 consid. 1 p. 204; 96 I 766 consid. 4 p. 774105 Ib 18 consid. 1a p. 19; 101 Ib 270 consid. 1b p. 273 s.; 96 I 766 consid. 5 p. 774 s.). Cela vaut également lorsque la décision pénale a été rendue, comme en l'espèce, à l'issue d'une procédure sommaire, en se fondant uniquement sur le rapport de police, notamment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En l'occurrence, le recourant n'a pas contesté le prononcé préfectoral du 14 février 2008. Celui-ci est entièrement fondé sur le rapport de la gendarmerie, dans lequel il est relevé que le recourant avait "reconnu les faits, tout en les minimisant". Se fondant sur le même rapport, le SCAN a interpellé le recourant par lettre du 13 février 2008 en indiquant que l'infraction paraissait entraîner un retrait de permis, ou pour le moins un avertissement. Le recourant devait dès lors contester le prononcé pénal s'il entendait revenir sur la constatation des faits. C'est dans ce cadre uniquement qu'il pouvait remettre en cause la crédibilité des constatations de la gendarmerie. Ne l'ayant pas fait, il devait se voir opposer la force de chose jugée au pénal, et ses contestations ne pouvaient être prises en considération.</w:t>
      </w:r>
    </w:p>
    <w:p>
      <w:r>
        <w:rPr>
          <w:b/>
        </w:rPr>
        <w:t>E. 2.3</w:t>
      </w:r>
    </w:p>
    <w:p>
      <w:r>
        <w:t>La cour cantonale s'est livrée à sa propre appréciation des preuves, laissant indécise la question de savoir si elle était liée par le jugement pénal. Dans son résultat, cette manière de faire n'aboutit pas en l'espèce à une constatation manifestement inexacte ou à une violation du droit au sens de l' art. 105 al. 2 LTF , puisque les faits finalement retenus sont, à juste titre, les mêmes que ceux établis au pénal. Le grief doit par conséquent être écarté.</w:t>
      </w:r>
    </w:p>
    <w:p>
      <w:r>
        <w:rPr>
          <w:b/>
        </w:rPr>
        <w:t>E. 3</w:t>
      </w:r>
    </w:p>
    <w:p>
      <w:r>
        <w:t>Le recourant conteste ensuite que la distance entre son véhicule et celui qui le précédait ait été insuffisante au sens des art. 34 al. 4 LCR et 12 al. 1 OCR. Il estime qu'il y avait lieu également de tenir compte des caractéristiques des deux véhicules en cause. Or, la distance de freinage serait nettement supérieure pour un véhicule lourd que pour une automobile légère. La cour cantonale aurait aussi considéré à tort que la remorque attelée au véhicule du recourant allongeait dans une mesure correspondante la distance de freinage de celui-ci. Le recourant avait en effet produit un descriptif d'un véhicule analogue au sien, décrivant le système de freinage comme "particulièrement performant". Subsidiairement, pour les mêmes raisons, le recourant considère que sa faute serait bénigne: la distance admissible, calculée selon la règle [distance entre véhicules x 3,4 / vitesse] ne s'appliquerait qu'à des véhicules ayant les mêmes caractéristiques de freinage, et il y aurait lieu de tenir compte des conditions favorables quant à la visibilité, la circulation et l'état de la route.</w:t>
      </w:r>
    </w:p>
    <w:p>
      <w:r>
        <w:rPr>
          <w:b/>
        </w:rPr>
        <w:t>E. 3.1</w:t>
      </w:r>
    </w:p>
    <w:p>
      <w:r>
        <w:t>Selon l' art. 34 al. 4 LCR , le conducteur observera une distance suffisante envers tous les usagers de la route, notamment pour croiser, dépasser et circuler de front ou lorsque des véhicules se suivent. Selon l' art. 12 al. 1 OCR , lorsque des véhicules se suivent, le conducteur se tiendra à une distance suffisante du véhicule qui le précède, afin de pouvoir s'arrêter à temps en cas de freinage inattendu.</w:t>
      </w:r>
    </w:p>
    <w:p>
      <w:r>
        <w:t>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minimum à respecter au-delà desquelles il y aurait infractions, simple ou grave, à la LCR. La règle des deux secondes ou du "demi compteur" (correspondant à un intervalle de 1,8 s) sont des standards minimum habituellement reconnus ( ATF 131 IV 133 consid. 3.1). Prenant en compte la pratique allemande et la doctrine, la jurisprudence du Tribunal fédéral a considéré que le cas peut être grave lorsque l'intervalle entre les véhicules est inférieur à 0,8 voire 0,6 s (même arrêt, consid. 3.2.2). Ainsi, le conducteur commet en tout cas une faute moyennement grave lorsque, à une vitesse de 85 km/h, il suit un autre usager à une distance de 8 m ( ATF 126 II 358 ), ou lorsqu'à une vitesse de 87 km/h, il suit un véhicule à une distance de 5 à 10 m (arrêt 6A.54/2004 du 3 février 2005).</w:t>
      </w:r>
    </w:p>
    <w:p>
      <w:r>
        <w:rPr>
          <w:b/>
        </w:rPr>
        <w:t>E. 3.2</w:t>
      </w:r>
    </w:p>
    <w:p>
      <w:r>
        <w:t>La présente espèce est en tous points comparable aux deux derniers arrêts cités. Selon les constatations liant l'autorité administrative, le recourant a suivi à 80 km/h environ, sur plusieurs centaines de mètres, le camion qui le précédait, à une distance située entre 5 et 15 m. Dans le cas le plus favorable, l'intervalle est de moins de 0,7 s, soit moins de la moitié de l'intervalle à respecter en vertu des règles de prudence rappelées ci-dessus. Contrairement à ce que soutient le recourant, un tel intervalle constitue une faute moyennement grave, même lorsque les conditions de visibilité et de trafic sont favorables. Le recourant estime également à tort qu'il y avait lieu de prendre en considération les capacités de freinage réduite du véhicule poids lourd qui le précédait. Une puissance de freinage réduite peut être prise comme circonstance aggravante pour le conducteur du véhicule qui en suit un autre (cf. JdT 2006 I p. 445-446). En revanche, celui qui suit un poids lourd ne saurait spéculer sur une capacité de freinage réduite de celui-ci, alors qu'il ne connaît précisément ni les caractéristiques du véhicule (notamment son système de freinage), ni le poids de son éventuel chargement. Le recourant pouvait d'autant moins se livrer à de telles conjectures que son véhicule tirait lui-même une remorque, ce qui avait forcément pour effet d'accroître sa distance de freinage. Le conducteur qui suit un poids lourd de trop près prend d'ailleurs un risque supplémentaire car, en raison de la visibilité réduite, il ne peut généralement pas anticiper un freinage d'urgence du véhicule qui le précède.</w:t>
      </w:r>
    </w:p>
    <w:p>
      <w:r>
        <w:rPr>
          <w:b/>
        </w:rPr>
        <w:t>E. 3.3</w:t>
      </w:r>
    </w:p>
    <w:p>
      <w:r>
        <w:t>S'agissant de la durée du retrait de permis, l'autorité s'en est tenue au minimum légal de quatre mois, applicable compte tenu de la faute moyennement grave et des antécédents du recourant ( art. 16b al. 2 let. b LCR ). La conclusion subsidiaire tendant au prononcé d'un retrait pour un mois doit par conséquent être écartée.</w:t>
      </w:r>
    </w:p>
    <w:p>
      <w:r>
        <w:rPr>
          <w:b/>
        </w:rPr>
        <w:t>E. 4</w:t>
      </w:r>
    </w:p>
    <w:p>
      <w:r>
        <w:t>La mesure confirmée par la cour cantonale apparaît ainsi conforme au droit fédéral.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