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1C_103/2021 vom 20. August 2021</w:t>
      </w:r>
    </w:p>
    <w:p>
      <w:r>
        <w:t>Bundesgericht, 2021-08-20, DE</w:t>
      </w:r>
    </w:p>
    <w:p>
      <w:r>
        <w:rPr>
          <w:b/>
        </w:rPr>
        <w:t xml:space="preserve">Quelle: </w:t>
      </w:r>
      <w:r>
        <w:t>https://mcp.opencaselaw.ch/entscheid/bger_1C_103_2021</w:t>
      </w:r>
    </w:p>
    <w:p>
      <w:r>
        <w:t>FR: TF 1C_103/2021 du 20 août 2021</w:t>
      </w:r>
    </w:p>
    <w:p>
      <w:r>
        <w:t>IT: TF 1C_103/2021 del 20 agosto 2021</w:t>
      </w:r>
    </w:p>
    <w:p>
      <w:pPr>
        <w:pStyle w:val="Heading2"/>
      </w:pPr>
      <w:r>
        <w:t>Erwägungen</w:t>
      </w:r>
    </w:p>
    <w:p>
      <w:r>
        <w:rPr>
          <w:b/>
        </w:rPr>
        <w:t>E. 1.1</w:t>
      </w:r>
    </w:p>
    <w:p>
      <w:r>
        <w:t>Der angefochtene Entscheid stellt einen kantonal letztinstanzlichen Endentscheid im Bereich der Opferhilfe dar (vgl. Art. 86 Abs. 1 lit. d und Abs. 2 sowie Art. 90 BGG ). Dagegen steht die Beschwerde in öffentlich-rechtlichen Angelegenheiten gemäss Art. 82 lit. a BGG grundsätzlich offen. Da die Opferhilfe keine Staatshaftung betrifft, ist die Streitwertgrenze gemäss Art. 85 Abs. 1 lit. a BGG nicht anwendbar ( BGE 132 II 117 E. 2.2.4 S. 121; Urteil 1C_320/2019 vom 23. April 2020 E. 1.1; je mit Hinweisen). Die Beschwerdeführenden haben am vorinstanzlichen Verfahren teilgenommen und sind durch den angefochtenen Entscheid besonders berührt, weshalb sie zur Beschwerde legitimiert sind ( Art. 89 Abs. 1 BGG ). Da auch die übrigen Sachurteilsvoraussetzungen gegeben sind, ist auf die Beschwerde grundsätzlich einzutreten.</w:t>
      </w:r>
    </w:p>
    <w:p>
      <w:r>
        <w:rPr>
          <w:b/>
        </w:rPr>
        <w:t>E. 1.2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(vgl. Art. 97 Abs. 1 BGG ). Eine entsprechende Sachverhaltsrüge ist substanziiert vorzubringen (vgl. Art. 106 Abs. 2 BGG ; BGE 144 V 50 E. 4.1 ; 136 I 184 E. 1.2).</w:t>
      </w:r>
    </w:p>
    <w:p>
      <w:r>
        <w:rPr>
          <w:b/>
        </w:rPr>
        <w:t>E. 1.3</w:t>
      </w:r>
    </w:p>
    <w:p>
      <w:r>
        <w:t>Gemäss der ständigen bundesgerichtlichen Rechtsprechung ist ein Entscheid willkürlich gemäss Art. 9 BV , wenn er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144 IV 136 E. 5.8; 142 V 513 E. 4.2; je mit Hinweisen).</w:t>
      </w:r>
    </w:p>
    <w:p>
      <w:r>
        <w:rPr>
          <w:b/>
        </w:rPr>
        <w:t>E. 2</w:t>
      </w:r>
    </w:p>
    <w:p>
      <w:r>
        <w:t>Nach Art. 1 Abs. 1 OHG (SR 312.5) hat jede Person, die durch eine Straftat in ihrer körperlichen, psychischen oder sexuellen Integrität unmittelbar beeinträchtigt worden ist (Opfer), Anspruch auf Unterstützung nach diesem Gesetz (Opferhilfe). Gemäss Abs. 2 haben auch der Ehegatte oder die Ehegattin des Opfers, seine Kinder und Eltern sowie andere Personen, die ihm in ähnlicher Weise nahestehen (Angehörige) Anspruch auf Opferhilfe. Der Anspruch besteht unabhängig davon, ob der Täter oder die Täterin ermittelt worden ist, sich schuldhaft verhalten und vorsätzlich oder fahrlässig gehandelt hat (Abs. 3).</w:t>
      </w:r>
    </w:p>
    <w:p>
      <w:r>
        <w:t>Die Opferhilfe umfasst gemäss Art. 2 OHG die Beratung und Soforthilfe (lit. a), längerfristige Hilfe der Beratungsstellen (lit. b), Kostenbeiträge für längerfristige Hilfe Dritter (lit. c), Entschädigung (lit. d), Genugtuung (lit. e) sowie Befreiung von Verfahrenskosten (lit. f).</w:t>
      </w:r>
    </w:p>
    <w:p>
      <w:r>
        <w:rPr>
          <w:b/>
        </w:rPr>
        <w:t>E. 3.1</w:t>
      </w:r>
    </w:p>
    <w:p>
      <w:r>
        <w:t>Die Vorinstanz erwog, die kantonale Opferhilfestelle habe davon ausgehen dürfen, dass es vorliegend an einer für den Nachweis der Opferstellung vorausgesetzten tatbestandsmässigen und rechtswidrigen Straftat fehle. Dies stehe in Übereinstimmung mit der Einstellungsverfügung der Staatsanwaltschaft. Die kantonale Opferhilfestelle sei daher nicht gehalten gewesen, das Vorliegen einer Straftat selbständig zu prüfen. Von weiteren Abklärungen seien keine neuen Erkenntnisse in der Sache zu erwarten gewesen. Folglich sei nicht zu beanstanden, dass das Gesuch der Beschwerdeführenden um Gutsprache für die Übernahme der ungedeckten Kosten der anwaltlichen Vertretung im zivil- und strafrechtlichen Verfahren mangels einer Anspruch begründenden Straftat abgewiesen habe.</w:t>
      </w:r>
    </w:p>
    <w:p>
      <w:r>
        <w:rPr>
          <w:b/>
        </w:rPr>
        <w:t>E. 3.2</w:t>
      </w:r>
    </w:p>
    <w:p>
      <w:r>
        <w:t>Die Beschwerdeführenden sind demgegenüber der Ansicht, der Entscheid der Vorinstanz sei aufgrund einer ungenügenden und rechtlich nicht zutreffenden Würdigung des Sachverhalts erfolgt. Zur Begründung führen sie aus, der Polizeirapport befasse sich nur mit der Frage, ob ein aussergewöhnlicher Todesfall vorliege bzw. ob weitere Ermittlungen vorzunehmen seien. Letzteres sei jedoch stillschweigend verneint worden. Dieser Umstand habe Anlass gegeben, bei der Opferhilfestelle den Antrag auf weitere Abklärungen zu deponieren. Dabei sei vor allem abzuklären, ob ein Organisationsverschulden des Brockenhauses vorliege, weil keine Regelung bestanden habe, Gegenstände auf ihre Gefährlichkeit zu überprüfen, bevor sie intern weiter behandelt wurden, um dann allenfalls in den Verkauf zu gelangen oder weggeworfen zu werden. Dass die Vorinstanz ohne weitere Abklärung der massgebenden Verhältnisse eine Sorgfaltspflicht der Organe des Brockenhauses verneint habe, sei absolut stossend. Die Verhältnisse seien zuerst weiter abzuklären, bevor eine solche Schlussfolgerung gezogen werden könne. Der vorinstanzliche Entscheid erscheine als sachlich nicht vertretbar und sei damit willkürlich.</w:t>
      </w:r>
    </w:p>
    <w:p>
      <w:r>
        <w:rPr>
          <w:b/>
        </w:rPr>
        <w:t>E. 3.3</w:t>
      </w:r>
    </w:p>
    <w:p>
      <w:r>
        <w:t>Dieser Auffassung kann nicht gefolgt werden. Wie dem angefochtenen Entscheid entnommen werden kann, hat die Vorinstanz einlässlich geprüft, ob die Organe des Brockenhauses eine Garantenstellung innegehabt hatten, aufgrund derer sie verpflichtet gewesen wären, allfällige Sicherheitsvorkehrungen in Bezug auf den Kaninchentöter zu treffen (vgl. E. 4.2 des angefochtenen Entscheids). Darauf kann verwiesen werden. Die Vorinstanz hat in Übereinstimmung mit der kantonalen Opferhilfestelle nachvollziehbar dargelegt, dass E.________ die Herrschaft über das zum Tode führende Geschehen innegehabt habe. Er habe jederzeit von der freiwilligen und ehrenamtlichen Reparatur bzw. Sichtung des Kaninchentöters Abstand nehmen können. Daran ändere auch nichts, dass er den Gegenstand allenfalls nicht als Waffe erkannt habe und es deshalb zum tragischen Ereignis gekommen sei. Er habe sich in freier Verantwortung einer Selbstgefährdung ausgesetzt. Die Organe des Brockenhauses seien jedenfalls nicht unmittelbar beteiligt und hätten ihn nicht gefährdet. Sie hätten folglich keine Garantenstellung innegehabt und es könne ihnen keine pflichtwidrige Untätigkeit vorgeworfen werden, die zum Tod von E.________ geführt habe.</w:t>
      </w:r>
    </w:p>
    <w:p>
      <w:r>
        <w:t>Dass die Vorinstanz das Vorliegen einer Straftat verneinte, ist nach dem Gesagten nicht zu beanstanden. Inwiefern die von den Beschwerdeführenden beantragte "Ergänzung/Präzisierung des Sachverhalts", wonach "der Verstorbene schon seit längerer Zeit für das Blaue Kreuz tätig war und für diese Organisation zuvor eingesammelte Gegenstände sichtete, prüfte und für einen späteren Verkauf wieder dem Brockenhaus aushändigte, was alles mit Wissen und Willen der Organe des Blauen Kreuzes geschehen sei", daran etwas ändern soll, ist nicht ersichtlich. Dies gilt umso mehr, als die Vorinstanz diese Tatsachen ohnehin berücksichtigte. Sie hielt fest, E.________ sei bereits seit 20 Jahren freiwillig und ehrenamtlich für das Blaue Kreuz tätig gewesen (vgl. E. 4.2 des angefochtenen Entscheids). Unbehelflich ist sodann auch der Einwand der Beschwerdeführenden, E.________ sei im Zeitpunkt des Ereignisses bereits über 70 Jahre alt gewesen. Anhaltspunkte, dass er nicht mehr in der Lage gewesen wäre, eigenverantwortlich zu handeln, werden von den Beschwerdeführenden nicht substanziiert geltend gemacht und sind auch nicht ersichtlich.</w:t>
      </w:r>
    </w:p>
    <w:p>
      <w:r>
        <w:t>Schliesslich steht die vorinstanzliche Schlussfolgerung in Übereinstimmung mit den Strafakten, insbesondere der Einstellungsverfügung der Staatsanwaltschaft vom 6. August 2019. Darin wird festgehalten, die Untersuchung habe keinerlei Hinweise auf ein strafrechtlich relevantes Verhalten bzw. eine todesursächliche Fremdeinwirkung ergeben, weshalb das Verfahren einzustellen sei. Es sei davon auszugehen, dass E.________ in den Lauf des Kaninchentöters geschaut habe, als sich der Schuss gelöst habe. Der Schussverlauf spreche aus rechtsmedizinischer Sicht am ehesten für eine unfallmässige und nicht für eine suizidale Schussabgabe.</w:t>
      </w:r>
    </w:p>
    <w:p>
      <w:r>
        <w:t>Es kann den Vorinstanzen unter diesen Umständen auch nicht eine unvollständige Sachverhaltsfeststellung vorgeworfen werden, wenn sie auf die Anordnung weiterer Untersuchungsmassnahmen verzichtet haben. Aufgrund der vorinstanzlichen Feststellungen und der Strafakten ist davon auszugehen, dass es sich beim Tod von E.________ um einen tragischen, jedoch eigenverantwortlichen Unfall und nicht um eine Straftat gehandelt hat. Bei dieser Sachlage bestand folglich für die Vorinstanzen kein Anlass, weitere Untersuchungsmassnahmen anzuordnen, auch nicht im Zusammenhang mit einem allfälligen Organisationsverschulden seitens des Brockenhauses, wie von den Beschwerdeführenden vorgebracht.</w:t>
      </w:r>
    </w:p>
    <w:p>
      <w:r>
        <w:t>Die Vorinstanzen durften davon ausgehen, dass es an einer für den Nachweis der Opferstellung vorausgesetzten tatbestandsmässigen und rechtswidrigen Straftat fehlt. Der angefochtene Entscheid beruht weder auf einer unrichtigen noch auf einer ungenügenden Sachverhaltsfeststellung. Dass die Vorinstanzen das Gesuch um Gutsprache für die Übernahme der ungedeckten Kosten der anwaltlichen Vertretung abgewiesen haben, kann vorliegend daher nicht als unhaltbar bezeichnet werden.</w:t>
      </w:r>
    </w:p>
    <w:p>
      <w:r>
        <w:rPr>
          <w:b/>
        </w:rPr>
        <w:t>E. 4</w:t>
      </w:r>
    </w:p>
    <w:p>
      <w:r>
        <w:t>Die Beschwerde erweist sich als unbegründet und ist abzuweisen. Gerichtskosten sind keine zu erheben ( Art. 30 Abs. 1 OHG i.V.m. Art. 66 Abs. 1 BGG ). Die Beschwerdeführenden haben keinen Anspruch auf eine Parteientschädigung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