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103/2020 vom 24. Februar 2020</w:t>
      </w:r>
    </w:p>
    <w:p>
      <w:r>
        <w:t>Bundesgericht, 2020-02-24, DE</w:t>
      </w:r>
    </w:p>
    <w:p>
      <w:r>
        <w:rPr>
          <w:b/>
        </w:rPr>
        <w:t xml:space="preserve">Quelle: </w:t>
      </w:r>
      <w:r>
        <w:t>https://mcp.opencaselaw.ch/entscheid/bger_1C_103_2020</w:t>
      </w:r>
    </w:p>
    <w:p>
      <w:r>
        <w:t>FR: TF 1C 103/2020 du 24 février 2020</w:t>
      </w:r>
    </w:p>
    <w:p>
      <w:r>
        <w:t>IT: TF 1C 103/2020 del 24 febbraio 2020</w:t>
      </w:r>
    </w:p>
    <w:p>
      <w:pPr>
        <w:pStyle w:val="Heading2"/>
      </w:pPr>
      <w:r>
        <w:t>Regeste</w:t>
      </w:r>
    </w:p>
    <w:p>
      <w:r>
        <w:t>Ersatzvornahme (Projekt für den Anschluss einer Liegenschaft an die öffentliche Kanalisation) | Raumplanung und öffentliches Baurecht</w:t>
      </w:r>
    </w:p>
    <w:p>
      <w:pPr>
        <w:pStyle w:val="Heading2"/>
      </w:pPr>
      <w:r>
        <w:t>Erwägungen</w:t>
      </w:r>
    </w:p>
    <w:p>
      <w:r>
        <w:rPr>
          <w:b/>
        </w:rPr>
        <w:t>E. 1</w:t>
      </w:r>
    </w:p>
    <w:p>
      <w:r>
        <w:t>Das Amt für Umwelt des Kantons Thurgau verpflichtete A.________ mit Verfügung vom 11. Februar 2019, seine Liegenschaft in Brüschwil innert Jahresfrist an die öffentliche Mischwasserkanalisation anzuschliessen und mindestens sechs Monate vorher ein Anschlussprojekt einzureichen. A.________ wurde die Ersatzvornahme angedroht.</w:t>
      </w:r>
    </w:p>
    <w:p>
      <w:r>
        <w:rPr>
          <w:b/>
        </w:rPr>
        <w:t>E. 2</w:t>
      </w:r>
    </w:p>
    <w:p>
      <w:r>
        <w:t>Mit Schreiben vom 4. Juni 2019 und 26. August 2019 wies das Amt für Umwelt des Kantons Thurgau A.________ darauf hin, dass bis zum 12. September 2019 das Anschlussprojekt beim Amt für Umwelt vorliegen müsse. Am 30. September 2019 entschied das Amt für Umwelt, dass das nicht eingereichte Anschlussprojekt am 23. Oktober 2019 ersatzvornahmeweise in Auftrag gegeben werde. Es sei mit geschätzten Kosten von Fr. 2'000.-- zu rechnen. Dagegen gelangte A.________ mit Eingabe vom 14. Oktober 2019 an das Verwaltungsgericht des Kantons Thurgau, welches mit Entscheid vom 4. Dezember 2019 sowohl die Anfechtung des Vollstreckungsentscheids sowie das Gesuch um unentgeltliche Rechtspflege abwies.</w:t>
      </w:r>
    </w:p>
    <w:p>
      <w:r>
        <w:rPr>
          <w:b/>
        </w:rPr>
        <w:t>E. 3</w:t>
      </w:r>
    </w:p>
    <w:p>
      <w:r>
        <w:t>A.________ führt mit Eingabe vom 6. Februar 2020 (Postaufgabe 19. Februar 2020) Beschwerde in öffentlich-rechtlichen Angelegenheiten gegen den Entscheid des Verwaltungsgerichts des Kantons Thurgau vom 4. Dezember 2019.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Das Verwaltungsgericht legte dar, weshalb es die Anfechtung des Vollstreckungsentscheids und das Gesuch um unentgeltliche Rechtspflege samt Bestellung eines unentgeltlichen Anwalts abwies. Mit diesen Ausführungen setzt sich der Beschwerdeführer überhaupt nicht auseinander und vermag nicht aufzuzeigen, inwiefern die Begründung des Verwaltungsgerichts bzw. dessen Entscheid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sinngemäss gestellten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