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1C_103/2013 vom 7. Oktober 2013</w:t>
      </w:r>
    </w:p>
    <w:p>
      <w:r>
        <w:t>Bundesgericht, 2013-10-07, DE</w:t>
      </w:r>
    </w:p>
    <w:p>
      <w:r>
        <w:rPr>
          <w:b/>
        </w:rPr>
        <w:t xml:space="preserve">Quelle: </w:t>
      </w:r>
      <w:r>
        <w:t>https://mcp.opencaselaw.ch/entscheid/bger_1C_103_2013</w:t>
      </w:r>
    </w:p>
    <w:p>
      <w:r>
        <w:t>FR: TF 1C_103/2013 du 7 octobre 2013</w:t>
      </w:r>
    </w:p>
    <w:p>
      <w:r>
        <w:t>IT: TF 1C_103/2013 del 7 ottobre 2013</w:t>
      </w:r>
    </w:p>
    <w:p>
      <w:pPr>
        <w:pStyle w:val="Heading2"/>
      </w:pPr>
      <w:r>
        <w:t>Erwägungen</w:t>
      </w:r>
    </w:p>
    <w:p>
      <w:r>
        <w:rPr>
          <w:b/>
        </w:rPr>
        <w:t>E. 1</w:t>
      </w:r>
    </w:p>
    <w:p>
      <w:r>
        <w:t>Aufgrund der Leitentscheide des Bundesgerichts vom 22. Mai 2013 ist die Sache entscheidungsreif; insbesondere hängt der Ausgang des vorliegenden Verfahrens nicht von dem noch ausstehenden Entscheid der Gemeide Vaz/Obervaz über das Projektänderungsgesuch ab. Das Sistierungsgesuch des Beschwerdegegners ist daher abzuweisen.</w:t>
      </w:r>
    </w:p>
    <w:p>
      <w:r>
        <w:rPr>
          <w:b/>
        </w:rPr>
        <w:t>E. 2</w:t>
      </w:r>
    </w:p>
    <w:p>
      <w:r>
        <w:t>Trotz der angekündigten Projektänderung ist das Verfahren vor Bundesgericht nicht gegenstandslos geworden, soweit sich die Beschwerde gegen die Baubewilligung vom 23. August 2012 richtet. Der Beschwerdegegner hat sein ursprüngliches Baugesuch nicht förmlich zurückgezogen, weshalb die bereits erteilte Baubewilligung in Rechtskraft erwachsen und vollzogen werden könnte. Insofern besteht ein aktuelles Rechtsschutzinteresse der Beschwerdeführerin.</w:t>
      </w:r>
    </w:p>
    <w:p>
      <w:r>
        <w:rPr>
          <w:b/>
        </w:rPr>
        <w:t>E. 3</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ist somit zu Unrecht auf die Beschwerde nicht eingetreten.</w:t>
      </w:r>
    </w:p>
    <w:p>
      <w:r>
        <w:rPr>
          <w:b/>
        </w:rPr>
        <w:t>E. 4</w:t>
      </w:r>
    </w:p>
    <w:p>
      <w:r>
        <w:t>Das Verwaltungsgericht ging überdies davon aus, dass die neuen Verfassungsbestimmungen nicht anwendbar seien auf Baubewilligungen, die zwischen dem 11. März 2012 und dem 31. Dezember 2012 erstinstanzlich erteilt wurden ( Art. 197 Ziff. 9 Abs. 2 BV e contrario).</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aufzuheben sind.</w:t>
      </w:r>
    </w:p>
    <w:p>
      <w:r>
        <w:rPr>
          <w:b/>
        </w:rPr>
        <w:t>E. 5</w:t>
      </w:r>
    </w:p>
    <w:p>
      <w:r>
        <w:t>Die Beschwerde ist daher grundsätzlich gutzuheissen und der angefochtene Entscheid des Verwaltungsgerichts aufzuheben. Fraglich ist, ob die Sache an das Verwaltungsgericht oder (unter Mitaufhebung des Einsprache- und Baubewilligungsentscheids) an die Gemeinde zurückzuweisen ist ( Art. 107 Abs. 2 BGG ).</w:t>
      </w:r>
    </w:p>
    <w:p>
      <w:r>
        <w:t>Im vorliegenden Fall besteht die Besonderheit, dass noch eine weitere Beschwerde gegen das Bauvorhaben vor Verwaltungsgericht hängig ist. Es erscheint sinnvoll, dieses Verfahren mit dem Vorliegenden zu koordinieren. Hierfür ist die Sache - dem Hauptantrag der Beschwerdeführerin entsprechend - an das Verwaltungsgericht zurückzuweisen.</w:t>
      </w:r>
    </w:p>
    <w:p>
      <w:r>
        <w:rPr>
          <w:b/>
        </w:rPr>
        <w:t>E. 6</w:t>
      </w:r>
    </w:p>
    <w:p>
      <w:r>
        <w:t>Bei diesem Ausgang des Verfahrens obsiegt die Beschwerdeführerin; der private Beschwerdegegner wird daher kostenpflichtig ( Art. 66 BGG ). Zwar hat er weder vor Verwaltungsgericht (mangels Schriftenwechsels) noch vor Bundesgericht die Abweisung der Beschwerde beantragt. Er hat jedoch durch die Einreichung des Baugesuchs das Verfahren veranlasst und ist deshalb im vorliegenden Verfahren notwendigerweise Gegenpartei bzw. Beschwerdegegner; als solcher trägt er grundsätzlich das Prozess- und Kostenrisiko ( BGE 123 V 156 E. 3c S. 158).</w:t>
      </w:r>
    </w:p>
    <w:p>
      <w:r>
        <w:t>Die Beschwerdeführerin war vor Bundesgericht nicht anwaltlich vertreten, weshalb sie praxisgemäss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