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1C_103/2008 vom 23. September 2008</w:t>
      </w:r>
    </w:p>
    <w:p>
      <w:r>
        <w:t>Bundesgericht, 2008-09-23, FR</w:t>
      </w:r>
    </w:p>
    <w:p>
      <w:r>
        <w:rPr>
          <w:b/>
        </w:rPr>
        <w:t xml:space="preserve">Quelle: </w:t>
      </w:r>
      <w:r>
        <w:t>https://mcp.opencaselaw.ch/entscheid/bger_1C_103_2008</w:t>
      </w:r>
    </w:p>
    <w:p>
      <w:r>
        <w:t>FR: TF 1C_103/2008 du 23 septembre 2008</w:t>
      </w:r>
    </w:p>
    <w:p>
      <w:r>
        <w:t>IT: TF 1C_103/2008 del 23 settembre 2008</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et l'art. 34 al. 1 de la loi fédérale sur l'aménagement du territoire (LAT; RS 700) dans sa teneur actuelle selon le ch. 64 de l'annexe à la loi sur le Tribunal administratif fédéral ( ATF 133 II 249 consid. 1.2 p. 251). Aucune des exceptions prévues à l' art. 83 LTF n'est réalisée. Les recourants ont pris part à la procédure de recours devant le Tribunal administratif. En tant que propriétaires de parcelles voisines du projet, ils sont particulièrement touchés par l'arrêt attaqué confirmant l'octroi d'un permis de construire pour un projet de construction qu'ils tiennent en particulier pour non conforme aux règles relatives à la surface bâtie. Ils peuvent ainsi se prévaloir d'un intérêt personnel et digne de protection à l'annulation de l'arrêt attaqué. Leur qualité pour agir au sens de l' art. 89 al. 1 LTF ne prête pas à discussion à tout le moins en tant qu'ils s'en prennent à la densité du projet. Les autres conditions de recevabilité du recours en matière de droit public sont par ailleurs réunies de sorte qu'il y a lieu de statuer sur le fond.</w:t>
      </w:r>
    </w:p>
    <w:p>
      <w:r>
        <w:rPr>
          <w:b/>
        </w:rPr>
        <w:t>E. 2</w:t>
      </w:r>
    </w:p>
    <w:p>
      <w:r>
        <w:t>Les recourants dénoncent une application insoutenable des règles sur la surface bâtie. La cour cantonale se serait écartée de manière arbitraire de sa jurisprudence.</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qu'il revient aux recourants de démontrer en vertu de l' art. 106 al. 2 LTF ( ATF 133 II 396 consid. 3.2 p. 400).</w:t>
      </w:r>
    </w:p>
    <w:p>
      <w:r>
        <w:rPr>
          <w:b/>
        </w:rPr>
        <w:t>E. 2.2</w:t>
      </w:r>
    </w:p>
    <w:p>
      <w:r>
        <w:t>A teneur de l'art. 38 RPA, la surface bâtie dans la zone de faible densité ne peut excéder 1/8 de la surface de la parcelle pour les bâtiments comportant deux étages sous la corniche et 1/6 dans les autres cas. Dans les secteurs de protection des sites, dont fait partie la parcelle n° 8655, l'art. 40 al. 1 RPA prévoit une proportion de 1/10 pour les bâtiments comportant, comme en l'espèce, deux étages sous la corniche. L'art. 74 al. 1 RPA précise en outre que la surface bâtie est mesurée au niveau de la construction présentant les plus grandes dimensions en plan, compte non tenu des terrasses non couvertes, des seuils, des perrons, des balcons en saillie jusqu'à 1,50 mètre de largeur (fermés latéralement ou non) et d'autres installations semblables.</w:t>
      </w:r>
    </w:p>
    <w:p>
      <w:r>
        <w:rPr>
          <w:b/>
        </w:rPr>
        <w:t>E. 2.3</w:t>
      </w:r>
    </w:p>
    <w:p>
      <w:r>
        <w:t>La parcelle n° 8655 occupe une surface de 3'476 mètres carrés, de sorte que la surface bâtie maximale autorisée est de 347,60 mètres carrés selon l'art. 40 al. 1 RPA. Le projet litigieux respecterait cette exigence si l'on prend en considération dans le calcul de la surface bâtie les deux appartements du deuxième étage qui correspond au niveau du projet de construction présentant les plus grandes dimensions en plan selon l'art. 74 al. 1 RPA. Tel n'est pas le cas en revanche si l'on tient également compte des surfaces habitables des niveaux inférieurs qui sont décalés dans la pente du terrain par rapport au deuxième étage et qui viennent augmenter d'autant l'emprise au sol du bâtiment. Le Tribunal administratif s'était penché sur l'application de l'art. 74 al. 1 RPA aux immeubles en terrasses dans un arrêt rendu le 30 juin 2005 en la cause AC.2004.0125 et cité par Benoît Bovay, in: Aménagement du territoire, droit public des constructions et permis de construire : jurisprudence rendue en 2005 par le Tribunal administratif du canton de Vaud, RDAF 2006 I p. 222. Il avait alors jugé qu'en pareil cas, le coefficient d'occupation du sol ne devait pas être calculé sur la base de l'étage présentant les plus grandes dimensions en plan, mais qu'il fallait au contraire prendre en considération la projection au sol de l'ensemble des parties fermées du bâtiment qui en augmentent l'emprise au sol. Après réexamen, la cour cantonale a considéré que la jurisprudence précitée reposait sur une interprétation "contra litteram" de cette disposition et qu'elle devait être abandonnée. Elle a jugé que la surface bâtie devait se mesurer au niveau de la construction qui présente les plus grandes dimensions en plan, même en présence de bâtiments en terrasses.</w:t>
      </w:r>
    </w:p>
    <w:p>
      <w:r>
        <w:rPr>
          <w:b/>
        </w:rPr>
        <w:t>E. 2.4</w:t>
      </w:r>
    </w:p>
    <w:p>
      <w:r>
        <w:t>L'autorité cantonale de recours n'est certes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127 I 49 consid. 3c p. 52; 127 II 289 consid. 3a p. 292; 126 I 122 consid. 5 p. 129 et les arrêts cités).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131 I 394 consid. 3.2 p. 396 et les arrêts cités).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 ATF 131 II 562 consid. 3.5 p. 567 et les arrêts cités).</w:t>
      </w:r>
    </w:p>
    <w:p>
      <w:r>
        <w:rPr>
          <w:b/>
        </w:rPr>
        <w:t>E. 2.5</w:t>
      </w:r>
    </w:p>
    <w:p>
      <w:r>
        <w:t>Le droit cantonal ne donne pas de définition de la surface bâtie qui s'imposerait aux communes. Il revient à ces dernières de fixer dans leur règlement la manière de la calculer en indiquant, le cas échéant, les éléments de construction qui en sont exclus (cf. arrêt 1P.670/1993 du 20 mai 1994 consid. 2b/bb). La surface bâtie est généralement définie comme la projection horizontale au sol de l'ensemble des parties fermées d'une construction qui en augmentent l'emprise au sol (Jean-Luc Marti, Distances, coefficients et volumétrie des constructions en droit vaudois, thèse Lausanne 1988, p. 153; Daniela Ivanov, Die Harmonisierung des Baupolizeirechts unter Einbezug der übrigen Baugesetzgebung, thèse Fribourg 2006, p. 91 et les références citées). La Commune de Montreux n'a pas repris cette définition à l'art. 74 al. 1 RPA, mais elle a choisi comme référence le niveau de la construction présentant les plus grandes dimensions en plan, sans émettre de réserve en ce qui concerne les bâtiments en terrasses. Cela ne signifie pas encore que cette règle s'appliquerait sans autre à cette catégorie de bâtiments. Le Tribunal fédéral a en effet déjà admis que des projets de construction prévus dans des quartiers en pente ou exposés à la vue puissent justifier une application des règles sur la manière de calculer la hauteur des bâtiments adaptée aux objectifs d'esthétique et d'intégration poursuivis par ces règles (cf. arrêt 1P.266/1998 du 30 juin 1998 consid. 3b/ee; arrêt 1P.283/1995 du 21 août 1995 consid. 4).</w:t>
      </w:r>
    </w:p>
    <w:p>
      <w:r>
        <w:t>L'application stricte de l'art. 74 al. 1 RPA a pour conséquence dans le cas particulier d'exclure de la surface bâtie des locaux habitables qui viennent augmenter l'emprise au sol de la construction et qui devraient en principe être pris en compte au regard de cette disposition, puisque seuls sont exclus du calcul de la surface bâtie les terrasses non couvertes, les seuils, les perrons, les balcons en saillie (cf. art. 74 al. 1 RPA) et les dépendances hors terre ou souterraines et les autres constructions souterraines destinées au stationnement des véhicules (cf. art. 74 al. 2 RPA). Elle consacre ainsi une entorse importante à l'art. 40 al. 1 RPA, qui limite la surface bâtie à 1/10 de la surface de la parcelle, en autorisant une construction ayant une emprise au sol plus importante que celle en principe admise dans la zone de faible densité. Or, le coefficient d'occupation du sol tend à garantir une proportion raisonnable entre les parties construites d'une parcelle et celles qui sont libres de construction de manière à préserver des espaces verts, à assurer l'aération et l'ensoleillement des bâtiments et à ménager un milieu bâti agréable pour l'habitat; il poursuit également des buts d'esthétique ou de protection du paysage (arrêt 1P.512/1997 du 24 décembre 1998 consid. 4a publié in ZBl 101/2000 p. 195; Jean-Luc Marti, op. cit., p. 151/152; Daniela Ivanov, op. cit., p. 91; Piermarco Zen-Ruffinen/Christine Guy-Ecabert, Aménagement du territoire, construction, expropriation, Berne 2001, n. 867, p. 380, et n. 878, p. 384). Ces objectifs seraient manifestement compromis en l'occurrence s'il était admis de ne pas prendre en compte les surfaces bâties qui débordent du deuxième étage aux niveaux inférieurs. La référence faite au niveau de la construction présentant les plus grandes dimensions en plan tend en effet à éviter que seule la surface du rez-de-chaussée ayant une emprise effective au sol soit prise en compte pour calculer la surface bâtie alors que l'étage supérieur comporterait une surface bâtie plus importante (cf. arrêt du Tribunal administratif neuchâtelois du 9 septembre 1997 consid. 2b publié in RDAF 1998 I p. 44 et RJN 1997 p. 265; Jean-Luc Marti, op. cit., p. 159). Elle ne vise en revanche pas à exclure de la surface bâtie des éléments de construction qui devraient normalement être pris en compte, en raison de la configuration ou de la pente de la parcelle. Le législateur communal a d'ailleurs tenu compte des problèmes posés par l'application de cette règle aux bâtiments en terrasses dans la nouvelle réglementation communale en prévoyant désormais que la surface bâtie prend en considération les dimensions en plan des bâtiments (projection au sol) sis sur une parcelle et en accordant aux bâtiments en terrasses, présentant des niveaux décalés dans la pente, une densité plus élevée que celle admise pour les autres bâtiments (cf. art. 9.6 et 40 al. 1 RPGA). Le résultat auquel aboutit en l'espèce l'application stricte de l'art. 74 al. 1 RPA est d'autant plus critiquable que le projet de construction prend place dans un secteur de protection des sites soumis à des exigences plus sévères quant à la densité des constructions. En confirmant ce résultat, la cour cantonale a versé dans l'arbitraire. Il importe peu que le projet de construction litigieux respecte les exigences du nouveau règlement adopté par la Commune de Montreux étant donné que celui-ci n'a pas encore été approuvé par l'autorité cantonale compétente. En l'état actuel de la réglementation communale, il ne pourrait être admis que moyennant une dérogation à l'art. 40 al. 1 RPA dont il n'appartient pas au Tribunal fédéral de vérifier si les conditions posées à son octroi seraient réunies.</w:t>
      </w:r>
    </w:p>
    <w:p>
      <w:r>
        <w:t>Le grief tiré d'une violation des règles sur la densité des constructions est donc bien fondé. Il appartiendra aux constructeurs de revoir leur projet de manière à respecter l'art. 40 al. 1 RPA ou de requérir l'octroi d'une dérogation à cette disposition.</w:t>
      </w:r>
    </w:p>
    <w:p>
      <w:r>
        <w:rPr>
          <w:b/>
        </w:rPr>
        <w:t>E. 3</w:t>
      </w:r>
    </w:p>
    <w:p>
      <w:r>
        <w:t>Le recours doit par conséquent être admis et l'arrêt attaqué annulé sans qu'il soit nécessaire de se prononcer sur la recevabilité et la pertinence du second moyen invoqué par les recourants. La cause est renvoyée à la Cour de droit administratif et public du Tribunal cantonal pour qu'elle statue à nouveau sur les frais et dépens de la procédure cantonale. Les intimés, qui succombent, doivent supporter les frais de la présente procédure ( art. 65 al. 1 et 66 LTF ). Ils verseront en outre une indemnité de dépens aux recourants,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