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102/2012 vom 17. April 2012</w:t>
      </w:r>
    </w:p>
    <w:p>
      <w:r>
        <w:t>Bundesgericht, 2012-04-17, DE</w:t>
      </w:r>
    </w:p>
    <w:p>
      <w:r>
        <w:rPr>
          <w:b/>
        </w:rPr>
        <w:t xml:space="preserve">Quelle: </w:t>
      </w:r>
      <w:r>
        <w:t>https://mcp.opencaselaw.ch/entscheid/bger_1C_102_2012</w:t>
      </w:r>
    </w:p>
    <w:p>
      <w:r>
        <w:t>FR: TF 1C 102/2012 du 17 avril 2012</w:t>
      </w:r>
    </w:p>
    <w:p>
      <w:r>
        <w:t>IT: TF 1C 102/2012 del 17 aprile 2012</w:t>
      </w:r>
    </w:p>
    <w:p>
      <w:pPr>
        <w:pStyle w:val="Heading2"/>
      </w:pPr>
      <w:r>
        <w:t>Regeste</w:t>
      </w:r>
    </w:p>
    <w:p>
      <w:r>
        <w:t>Nichtigerklärung der erleichterten Einbürgerung | Bürgerrecht und Ausländerrecht</w:t>
      </w:r>
    </w:p>
    <w:p>
      <w:pPr>
        <w:pStyle w:val="Heading2"/>
      </w:pPr>
      <w:r>
        <w:t>Erwägungen</w:t>
      </w:r>
    </w:p>
    <w:p>
      <w:r>
        <w:rPr>
          <w:b/>
        </w:rPr>
        <w:t>E. 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 Der Beschwerdeführer hat sich am Verfahren vor der Vorinstanz beteiligt und ist beschwerdelegitimiert ( Art. 89 Abs. 1 BGG ). Auf die Beschwerde ist grundsätzlich einzutreten.</w:t>
      </w:r>
    </w:p>
    <w:p>
      <w:r>
        <w:rPr>
          <w:b/>
        </w:rPr>
        <w:t>E. 2.1</w:t>
      </w:r>
    </w:p>
    <w:p>
      <w:r>
        <w:t>Der Beschwerdeführer macht geltend, die Voraussetzungen der Nichtigerklärung der erleichterten Einbürgerung nach Art. 41 Abs. 1 BüG seien nicht erfüllt. Er habe, entgegen der Auffassung der Vorinstanz und ungeachtet seines Wochenaufenthaltes in Zürich, bis und mit Ende Herbst 2003 eine intakte und stabile Ehe geführt. Zur Trennung sei es nur gekommen, weil ihm seine Ehefrau im Herbst 2003 eröffnet habe, ein Adoptivkind aus den Philippinen in die Schweiz bringen zu wollen.</w:t>
      </w:r>
    </w:p>
    <w:p>
      <w:r>
        <w:rPr>
          <w:b/>
        </w:rPr>
        <w:t>E. 2.2</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Eine eheliche Gemeinschaft im Sinne von Art. 27 BüG setzt nicht nur das formelle Bestehen einer Ehe, sondern eine tatsächliche Lebensgemeinschaft voraus. Eine solche Gemeinschaft kann nur bejaht werden, wenn der gemeinsame Wille zu einer ehelichen Gemeinschaft intakt ist ( BGE 130 II 169 E. 2.3.1 S. 172).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die erleichterte Einbürgerung ermöglichen, um die Einheit des Bürgerrechts der Ehegatten im Hinblick auf ihre gemeinsame Zukunft zu fördern ( BGE 135 II 161 E. 2 S. 165; 130 II 482 E. 2 S. 484).</w:t>
      </w:r>
    </w:p>
    <w:p>
      <w:r>
        <w:rPr>
          <w:b/>
        </w:rPr>
        <w:t>E. 2.3</w:t>
      </w:r>
    </w:p>
    <w:p>
      <w:r>
        <w:t>Nach Art. 41 Abs. 1 BüG (in der hier anwendbaren, bis Ende Februar 2011 geltenden Fassung)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132 II 113 E. 3.1 S. 115). Arglist im Sinne des strafrechtlichen Betrugstatbestands ist nicht erforderlich, wohl aber, dass der Betroffene bezüglich erheblicher Tatsachen bewusst falsche Angaben macht bzw. die Behörde bewusst in einem falschen Glauben lässt und so den Vorwurf auf sich zieht, es unterlassen zu haben, die Behörde über eine erhebliche Tatsache zu informieren ( BGE 135 II 161 E. 2 S. 165; 132 II 113 E. 3.1 S. 115 mit Hinweisen). 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2.4</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2.5</w:t>
      </w:r>
    </w:p>
    <w:p>
      <w:r>
        <w:t>Das Bundesverwaltungsgericht erwog (angefochtener Entscheid E. 8 S. 11 ff.), der 1991 als Asylbewerber in die Schweiz gekommene Beschwerdeführer sei zwischen Juni 1994 und Mai 1997 mit einer ebenfalls Asyl suchenden Landsfrau verheiratet gewesen. Nach der Abweisung seines Asylgesuchs sei die Wegweisung nicht vollzogen worden. Im September 1998 habe er eine Schweizerin geheiratet und bei ihr im Kanton Genf Wohnsitz genommen. Aus beruflichen Gründen habe er ab März 1999 unter der Woche in Zürich gelebt. Im Juli/August 2002, von Oktober bis November 2002, im Februar 2003 und im Mai/Juni 2003 habe er sich allein in Sri Lanka aufgehalten. Seine Frau sei von Juni bis August 2002 und von Februar bis Mai 2003 allein auf den Philippinen gewesen. Diese äusseren Umstände - Heirat vor dem Hintergrund des nicht gesicherten Aufenthaltes in der Schweiz, getrennte Ferien im Ausland, definitive Trennung 1½ Monate nach der erleichterten Einbürgerung - begründeten die Vermutung, dass die Ehe am 21. August 2003 entgegen der gemeinsamen Erklärung nicht mehr intakt gewesen sei. Die Erklärung des Beschwerdeführers, einziger Grund für die Trennung der bisher intakten Ehe sei gewesen, dass ihm seine Ehefrau im Herbst 2003 eröffnet habe, ein Kind adoptieren zu wollen, überzeugte das Bundesverwaltungsgericht nicht.</w:t>
      </w:r>
    </w:p>
    <w:p>
      <w:r>
        <w:rPr>
          <w:b/>
        </w:rPr>
        <w:t>E. 2.6</w:t>
      </w:r>
    </w:p>
    <w:p>
      <w:r>
        <w:t>Es kann offen bleiben, ob die Ehe des Beschwerdeführers von Anfang einzig dem Zweck diente, seinen Aufenthalt in der Schweiz zu sichern oder ob die Eheleute wirklich vorhatten, eine eheliche Gemeinschaft einzugehen. Auf jeden Fall konnte das Bundesverwaltungsgericht ohne Bundesrechtsverletzung davon ausgehen, dass die gemeinsame Erklärung vom 21. August 2003, in intakter Ehe zu leben und diese fortsetzen zu wollen, nicht den Tatsachen entsprach. Bereits der Umstand, dass die Eheleute unter der Woche getrennt lebten und 2002 und 2003 die Ferien jedenfalls zum grossen Teil nicht gemeinsam verbrachten, spricht gegen das Bestehen einer intakten Ehe. Vor allem aber wurde nach den unbestrittenen Ausführungen im angefochtenen Entscheid (E. 6 S. 8 f.) die Ehefrau des Beschwerdeführers im Juli 2002 auf den Philippinen von einem Dritten schwanger und gebar dort im April 2003 eine Tochter. Nach der Darstellung des Beschwerdeführers hat ihm seine Frau von der Schwangerschaft nichts erzählt, und er hat davon nichts bemerkt. Beides ist in einer intakten Ehe kaum denkbar. Vor allem aber vermag der Beschwerdeführer nicht darzutun, weshalb der von seiner Ehefrau angeblich im Herbst 2003 geäusserte Wunsch, ein Kind zu adoptieren, die angeblich bisher intakte eheliche Gemeinschaft quasi von einem Tag auf den anderen zum Scheitern gebracht haben könnte. Die in diesem Zusammenhang vorgebrachte Behauptung, das Kind hätte auf illegalem Weg in die Schweiz gebracht werden sollen, und er habe nicht an etwas Illegalem beteiligt sein wollen (Beschwerde S. 6), ist neu und damit unzulässig ( Art. 99 Abs. 1 BGG ). Es ist zudem nicht zu sehen, inwiefern die Vorinstanz in Willkür verfallen sein sollte, indem sie in antizipierter Beweiswürdigung auf weitere Beweisabnahmen verzichtete. Ob es sich beim Kind, das seine Frau angeblich adoptieren wollte, um ihr leibliches Kind handelt oder nicht, ist für den Ausgang des Verfahrens unerheblich, da dem Beschwerdeführer am 4. Dezember 2003, als er die eheliche Wohnung verliess, nach seiner Darstellung gar nicht bewusst war, dass seine Frau im April 2003 ein Kind geboren hatte; damit konnte diese Frage für seinen Entschluss, die Ehefrau zu verlassen, keine Rolle gespielt haben, womit die Vorinstanz darüber keine Beweise zu erheben brauchte.</w:t>
      </w:r>
    </w:p>
    <w:p>
      <w:r>
        <w:rPr>
          <w:b/>
        </w:rPr>
        <w:t>E. 3</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