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9/2011 vom 7. Februar 2011</w:t>
      </w:r>
    </w:p>
    <w:p>
      <w:r>
        <w:t>Bundesgericht, 2011-02-07, FR</w:t>
      </w:r>
    </w:p>
    <w:p>
      <w:r>
        <w:rPr>
          <w:b/>
        </w:rPr>
        <w:t xml:space="preserve">Quelle: </w:t>
      </w:r>
      <w:r>
        <w:t>https://mcp.opencaselaw.ch/entscheid/bger_1B_9_2011</w:t>
      </w:r>
    </w:p>
    <w:p>
      <w:r>
        <w:t>FR: TF 1B 9/2011 du 7 février 2011</w:t>
      </w:r>
    </w:p>
    <w:p>
      <w:r>
        <w:t>IT: TF 1B 9/2011 del 7 febbraio 2011</w:t>
      </w:r>
    </w:p>
    <w:p>
      <w:pPr>
        <w:pStyle w:val="Heading2"/>
      </w:pPr>
      <w:r>
        <w:t>Regeste</w:t>
      </w:r>
    </w:p>
    <w:p>
      <w:r>
        <w:t>détention; ordonnance de refus de mise en liberté | Procédure pénale</w:t>
      </w:r>
    </w:p>
    <w:p>
      <w:pPr>
        <w:pStyle w:val="Heading2"/>
      </w:pPr>
      <w:r>
        <w:t>Erwägungen</w:t>
      </w:r>
    </w:p>
    <w:p>
      <w:r>
        <w:rPr>
          <w:b/>
        </w:rPr>
        <w:t>E. 1</w:t>
      </w:r>
    </w:p>
    <w:p>
      <w:r>
        <w:t>Les décisions relatives à la détention avant jugement ou à la détention de sûreté sont des décisions en matière pénale au sens de l' art. 78 al. 1 LTF (cf. ATF 133 I 270 consid. 1.1 p. 273; Message concernant la révision totale de l'organisation judiciaire fédérale du 28 février 2001, FF 2001 p. 4111). Prise en dernière instance cantonale ( art. 80 al. 1 LTF ), l'ordonnance contestée touche le recourant dans ses intérêts juridiquement protégés (art. 81 al. 1 let. a et b ch. 1 LTF). Le jugement rendu le 28 janvier 2011 par le Tribunal correctionnel ordonne le maintien du recourant en détention de sûreté, en application de l'art. 231 al. 1 du Code de procédure pénale suisse du 5 octobre 2007 (CPP; RS 312.0). Le recourant ne se trouve donc plus en détention préventive mais en détention pour des motifs de sûreté. Une éventuelle annulation de l'ordonnance attaquée apparaît dès lors dénuée de portée pratique, puisque le recourant resterait en détention sur la base du jugement du 28 janvier 2011. On peut dès lors se demander si le recourant conserve un intérêt actuel et pratique au traitement de son recours. A certaines conditions, il peut néanmoins se justifier d'entrer en matière pour examiner la licéité de la détention préventive, conformément à la jurisprudence rendue en la matière en application des art. 5 et 13 CEDH (cf. ATF 136 I 274 consid. 1.3 p. 276; arrêts 1B_94/2010 du 22 juillet 2010 consid. 1.3; 1B_161/2010 du 12 juillet 2010 consid. 1 et les références citées, cf. arrêt CourEDH, Jusic c. Suisse du 2 décembre 2010, par. 56 s.). Vu l'issue du recours, ces questions peuvent toutefois demeurer indécises en l'espèce.</w:t>
      </w:r>
    </w:p>
    <w:p>
      <w:r>
        <w:rPr>
          <w:b/>
        </w:rPr>
        <w:t>E. 2</w:t>
      </w:r>
    </w:p>
    <w:p>
      <w:r>
        <w:t>L'ordonnance attaquée ayant été rendue avant l'entrée en vigueur du CPP le 1er janvier 2011, le recours sera traité selon l'ancien droit ( art. 453 al. 1 CPP ).</w:t>
      </w:r>
    </w:p>
    <w:p>
      <w:r>
        <w:rPr>
          <w:b/>
        </w:rPr>
        <w:t>E. 3</w:t>
      </w:r>
    </w:p>
    <w:p>
      <w:r>
        <w:t>Une mesure de détention préventive n'est compatible avec la liberté personnelle, garantie par les art. 10 al. 2 Cst. et 5 CEDH, que si elle repose sur une base légale (art. 31 al. 1 et 36 al. 1 Cst.), soit en l'espèce l' art. 34 CPP /GE.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et de réitération (art. 34 let. a à c CPP/GE). La gravité de l'infraction et l'importance de la peine encourue ne sont, à elles seules, pas suffisantes ( ATF 125 I 60 consid. 3a p. 62; 117 Ia 69 consid. 4a p. 70). Préalablement à ces conditions, il doit exister à l'égard de l'intéressé des charges suffisantes, soit de sérieux soupçons de culpabilité ( art. 5 par. 1 let . c CEDH; ATF 116 Ia 143 consid. 3 p. 144 s.; art. 34 in initio CPP/GE). S'agissant d'une restriction grave à la liberté personnelle, le Tribunal fédéral examine librement ces questions, sous réserve toutefois de l'appréciation des faits, revue sous l'angle restreint des art. 97 al. 1 et 105 al. 2 LTF ( ATF 135 I 71 consid. 2.5 p. 73 s. et les références).</w:t>
      </w:r>
    </w:p>
    <w:p>
      <w:r>
        <w:rPr>
          <w:b/>
        </w:rPr>
        <w:t>E. 4</w:t>
      </w:r>
    </w:p>
    <w:p>
      <w:r>
        <w:t>En premier lieu, le recourant relève une inadvertance manifeste dans l'ordonnance attaquée. Celle-ci retient en effet que l'intéressé a été reconnu coupable notamment d'avoir réceptionné environ 1kg de cocaïne provenant de l'étranger lors de la deuxième livraison d'octobre 2008, alors que l'arrêt de la Cour correctionnelle du 16 octobre 2009 fixe à 150 g la quantité de stupéfiant en cause pour cette infraction. Il y a lieu de prendre acte de l'inadvertance précitée et de la corriger d'office en application de l' art. 105 al. 2 LTF .</w:t>
      </w:r>
    </w:p>
    <w:p>
      <w:r>
        <w:rPr>
          <w:b/>
        </w:rPr>
        <w:t>E. 5</w:t>
      </w:r>
    </w:p>
    <w:p>
      <w:r>
        <w:t>Le recourant admet qu'il existe des charges suffisantes à son encontre. En revanche, il conteste notamment l'existence d'un risque de fuite.</w:t>
      </w:r>
    </w:p>
    <w:p>
      <w:r>
        <w:rPr>
          <w:b/>
        </w:rPr>
        <w:t>E. 5.1</w:t>
      </w:r>
    </w:p>
    <w:p>
      <w:r>
        <w:t>Conformément à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5.2</w:t>
      </w:r>
    </w:p>
    <w:p>
      <w:r>
        <w:t>En l'occurrence, la Chambre d'accusation a retenu que le risque de fuite était très élevé en raison de la nationalité étrangère de l'intéressé, de son domicile en France, des liens qu'il a conservés en Afrique - en particulier de la famille qu'il a en Guinée - et de l'absence d'attaches directes avec la Suisse. Le recourant n'apporte aucun élément permettant de contredire cette appréciation. Il se borne en effet à affirmer qu'il souhaite participer à la suite de la procédure pour établir son innocence sur la plus grande partie des faits retenus contre lui. Or, ce vague engagement ne saurait suffire pour dissiper le risque de voir l'intéressé prendre la fuite. Le recourant minimise en outre la peine qu'il encourt en prétendant qu'elle est égale, voire inférieure, à la détention déjà subie. Il perd ainsi de vue qu'il n'appartient pas au juge de la détention de se livrer à un pronostic détaillé de la peine qui sera prononcée, et encore moins de s'écarter radicalement de la peine prononcée en première instance. Le recourant confirme pour le surplus qu'il est domicilié en France, où vivent également son épouse et son fils. En définitive, vu les charges qui pèsent encore sur l'intéressé, la condamnation en première instance, les liens de l'intéressé à l'étranger et l'absence de toute attache concrète en Suisse, il y a lieu de retenir l'existence d'un risque de fuite.</w:t>
      </w:r>
    </w:p>
    <w:p>
      <w:r>
        <w:rPr>
          <w:b/>
        </w:rPr>
        <w:t>E. 6</w:t>
      </w:r>
    </w:p>
    <w:p>
      <w:r>
        <w:t>Le maintien en détention étant justifié par un risque de fuite, il n'est pas nécessaire d'examiner s'il existe aussi un risque de réitération, comme le retient l'ordonnance attaquée. Il reste donc à examiner si le recourant pouvait être mis en liberté moyennant le versement d'une caution, comme il le demande.</w:t>
      </w:r>
    </w:p>
    <w:p>
      <w:r>
        <w:rPr>
          <w:b/>
        </w:rPr>
        <w:t>E. 6.1</w:t>
      </w:r>
    </w:p>
    <w:p>
      <w:r>
        <w:t>La mise en liberté sous caution ou moyennant le versement de sûretés constitue un succédané de la détention préventive et une application du principe de la proportionnalité ( ATF 107 Ia 206 consid. 2a p. 208). Lorsque cela est possible, elle doit donc remplacer la détention, qui ne peut être maintenue qu'en tant qu'ultima ratio (cf. ATF 123 I 268 consid. 2c p. 271).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 ATF 105 Ia 186 consid. 4a p. 187, citant l'arrêt CourEDH Neumeister c. Autriche du 27 juin 1968, Série A, vol. 7, par. 14; cf. arrêt 1P.165/2006 du 19 avril 2006 consid. 3.2.1, publié in SJ 2006 I p. 395). Si la caution doit être fournie par un tiers, il y a lieu de prendre en considération les relations personnelles et financières du prévenu avec cette personne (arrêt 1P.690/2004 du 14 décembre 2004 consid. 2.4.3 et les références). Le juge de la détention peut renoncer à ordonner une mise en liberté sous caution ou moyennant le versement de sûretés lorsqu'il a la conviction que cette mesure ne suffira pas à garantir la présence de l'inculpé aux débats et, le cas échéant, sa soumission au jugement (cf. Sylva Fisnar, Ersatzanordnungen für Untersuchungshaft und Sicherheitshaft in zürcherischen Strafprozess, thèse 1997, p. 75 et les références citées). Pour apprécier la force dissuasive d'un dépôt de sûretés sur les velléités de fuite de la personne concernée, le juge de la détention jouit d'un certain pouvoir d'appréciation, eu égard à sa maîtrise complète du dossier (cf. arrêts 1B_113/2010 du 11 mai 2010 consid. 4.1; 1B_126/2008 du 2 juin 2008 consid. 3.1).</w:t>
      </w:r>
    </w:p>
    <w:p>
      <w:r>
        <w:rPr>
          <w:b/>
        </w:rPr>
        <w:t>E. 6.2</w:t>
      </w:r>
    </w:p>
    <w:p>
      <w:r>
        <w:t>En l'espèce, le recourant propose de fournir une caution de 10'000 fr., qui serait versée par son épouse. La Chambre d'accusation a considéré que ce montant était insuffisant pour pallier le risque de fuite, compte tenu de la valeur marchande de la cocaïne importée et des quelque 50'000 fr. que l'intéressé alléguait avoir gagné au jeu du "Tribolo". Il convient en outre de relever que, selon les informations fournies par le recourant, son épouse travaille en Suisse où elle réalise un revenu mensuel brut de 3'450 fr. environ. Même si l'on déduit les charges alléguées par le recourant, on peut constater que la personne appelée à servir de caution n'est pas totalement dénuée de ressources, étant rappelé qu'elle réside en France où le coût de la vie est moindre. Le recourant prétend par ailleurs qu'il est copropriétaire avec elle d'un appartement, ce qui laisse supposer que le couple bénéficie de certains moyens, même si l'intéressé prétend que le bien immobilier en question a été acquis "entièrement à crédit et sans fonds propres". En définitive, compte tenu de l'importance de la peine encourue, la Chambre d'accusation n'a pas abusé de son pouvoir d'appréciation en considérant qu'une caution de 10'000 fr. n'était pas suffisante pour dissuader l'intéressé de se soustraire à la justice.</w:t>
      </w:r>
    </w:p>
    <w:p>
      <w:r>
        <w:rPr>
          <w:b/>
        </w:rPr>
        <w:t>E. 7</w:t>
      </w:r>
    </w:p>
    <w:p>
      <w:r>
        <w:t>Le recourant se plaint encore d'une violation des principes de la proportionnalité et de la célérité.</w:t>
      </w:r>
    </w:p>
    <w:p>
      <w:r>
        <w:rPr>
          <w:b/>
        </w:rPr>
        <w:t>E. 7.1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p. 170; 132 I 21 consid. 4.1 p. 27; 107 Ia 256 consid. 2 et 3 p. 257 ss et les références). L'incarcération peut aussi être disproportionnée en cas de retard injustifié dans le cours de la procédure pénale ( ATF 128 I 149 consid. 2.2.1 p. 151 s.;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rPr>
          <w:b/>
        </w:rPr>
        <w:t>E. 7.2</w:t>
      </w:r>
    </w:p>
    <w:p>
      <w:r>
        <w:t>En l'occurrence, le recourant est en détention depuis le 3 novembre 2008. Il a donc subi à ce jour un peu plus de deux ans et trois mois de détention. Il est mis en cause dans un important trafic de stupéfiants et sa condamnation en première instance à une peine privative de liberté de six ans donne une idée de la peine qu'il encourt, bien qu'il ait été acquitté d'une partie des faits et qu'il en conteste d'autres. Il n'est en effet aucunement établi que les infractions qui subsistent lui vaudront une condamnation largement inférieure à la première et qui s'approcherait de la détention subie à ce jour. De plus, en contestant les charges retenues à son encontre, le recourant perd de vue qu'il n'appartient pas au juge de la détention de procéder à une pesée complète des éléments à charge et à décharge; il lui incombe uniquement de vérifier que le maintien en détention avant jugement repose sur des indices de culpabilité suffisants (cf. ATF 116 Ia 143 consid. 3c p. 146; Gérard Piquerez, Traité de procédure pénale suisse, 2e éd., 2006, p. 540 et les références). Pour le surplus, contrairement à ce que semble soutenir le recourant, il n'y a pas lieu de prendre en compte l'éventualité de l'octroi du sursis ( ATF 133 I 270 consid. 3.4.2 p. 282; 125 I 60 consid. 3d p. 64 et les arrêts cités). Il en va de même d'une éventuelle libération conditionnelle, dès lors que le recourant ne se trouve pas dans le cas particulier où la détention est prolongée durant la procédure de recours cantonale contre un jugement de condamnation, alors qu'elle dépasse déjà les deux tiers de la peine privative de liberté prononcée (cf. arrêts non publiés 1P.215/2006 du 5 mai 2006 consid. 4.1; 1P.18/2005 du 31 janvier 2005 consid. 2 et les références citées). Quant au principe de célérité, il n'est aucunement établi qu'il ait été violé. Le recourant n'invoque pas de manquements particulièrement graves, mais il se borne à mentionner deux périodes de prétendue inactivité des autorités. Or, quelques temps morts sont inévitables dans une procédure pénale et certains retards apparaissent compréhensibles dès lors que la présente procédure est relativement importante et qu'elle implique de nombreux protagonistes. Pour le surplus, un éventuel prolongement de la procédure en raison des recours que l'intéressé prétend vouloir introduire ne saurait être pris en considération de manière anticipée. En l'état, il y a donc lieu de constater que le principe de célérité a été respecté, de sorte que ces derniers griefs doivent eux aussi être rejetés.</w:t>
      </w:r>
    </w:p>
    <w:p>
      <w:r>
        <w:rPr>
          <w:b/>
        </w:rPr>
        <w:t>E. 8</w:t>
      </w:r>
    </w:p>
    <w:p>
      <w:r>
        <w:t>Il s'ensuit que le recours doit être rejeté, dans la mesure où il est recevable. Compte tenu des circonstances, l'assistance judiciaire doit être accordée au recourant ( art. 64 al. 1 LTF ). Celui-ci requiert la désignation de Me Pierre Bayenet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