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1B_99/2018 vom 21. Februar 2018</w:t>
      </w:r>
    </w:p>
    <w:p>
      <w:r>
        <w:t>Bundesgericht, 2018-02-21, DE</w:t>
      </w:r>
    </w:p>
    <w:p>
      <w:r>
        <w:rPr>
          <w:b/>
        </w:rPr>
        <w:t xml:space="preserve">Quelle: </w:t>
      </w:r>
      <w:r>
        <w:t>https://mcp.opencaselaw.ch/entscheid/bger_1B_99_2018</w:t>
      </w:r>
    </w:p>
    <w:p>
      <w:r>
        <w:t>FR: TF 1B_99/2018 du 21 février 2018</w:t>
      </w:r>
    </w:p>
    <w:p>
      <w:r>
        <w:t>IT: TF 1B_99/2018 del 21 febbraio 2018</w:t>
      </w:r>
    </w:p>
    <w:p>
      <w:pPr>
        <w:pStyle w:val="Heading2"/>
      </w:pPr>
      <w:r>
        <w:t>Erwägungen</w:t>
      </w:r>
    </w:p>
    <w:p>
      <w:r>
        <w:rPr>
          <w:b/>
        </w:rPr>
        <w:t>E. 1</w:t>
      </w:r>
    </w:p>
    <w:p>
      <w:r>
        <w:t>Die Staatsanwaltschaft Höfe Einsiedeln bestellte A.________ mit Verfügung vom 21. Januar 2016 in dem gegen ihn laufenden Strafverfahren wegen (versuchter) Nötigung Rechtsanwalt B.________ als amtlichen Verteidiger. Das Bezirksgericht Höfen sprach A.________ mit Urteil vom 8. Juni 2017 der versuchten Nötigung schuldig und verurteilte ihn zu einer Geldstrafe von 40 Tagessätzen zu Fr. 80.--. Am 14. Juni 2017 meldete der amtliche Verteidiger die Berufung an und erklärte nach Versand des begründeten Urteils fristgerecht am 25. August 2017 Berufung beim Kantonsgericht Schwyz und stellte die Berufungsanträge.</w:t>
      </w:r>
    </w:p>
    <w:p>
      <w:r>
        <w:rPr>
          <w:b/>
        </w:rPr>
        <w:t>E. 2</w:t>
      </w:r>
    </w:p>
    <w:p>
      <w:r>
        <w:t>A.________ ersuchte mit Eingabe vom 26. November 2017 um Entlassung von Rechtsanwalt B.________ und um Bestellung eines neuen amtlichen Verteidigers. Das Kantonsgericht Schwyz wies mit Verfügung vom 18. Januar 2018 das Gesuch um Wechsel der amtlichen Verteidigung ab. Zur Begründung führte es zusammenfassend aus, dass der Beschuldigte sein Gesuch im Wesentlichen mit der fehlenden Kommunikation zwischen ihm und dem Verteidiger begründe. Der Beschuldigte fühle sich nicht hinreichend ernst genommen. Objektive Pflichtversäumnisse könnten dem amtlichen Verteidiger im vorliegenden Strafverfahren nicht vorgeworfen werden. Ausserdem sei schliesslich auch der weit fortgeschrittene Verfahrensstand zu beachten.</w:t>
      </w:r>
    </w:p>
    <w:p>
      <w:r>
        <w:rPr>
          <w:b/>
        </w:rPr>
        <w:t>E. 3</w:t>
      </w:r>
    </w:p>
    <w:p>
      <w:r>
        <w:t>A.________ führt mit Eingabe vom 12. Februar 2018 Beschwerde in Strafsachen gegen die Verfügung des Kantonsgerichts Schwyz vom 18. Januar 2018.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weitschweifigen und nicht immer sachbezogenen Ausführungen nicht aufzuzeigen, dass das Kantonsgericht bei der Beurteilung seines Gesuchs um Wechsel der amtlichen Verteidigung das Vorliegen einer Störung des Vertrauensverhältnisses, welche mit konkreten Hinweisen belegt und objektiviert wird (vgl. dazu BGE 137 IV 161 E. 2.4 S. 165), in verfassungswidriger Weise verneint hätte. Aus den nicht leicht verständlichen Ausführungen des Beschwerdeführers ergibt sich nicht, inwiefern die Begründung des Kantonsgerichts, die zur Abweisung des Gesuchs führte, bzw. die Verfügung des Kantonsgerichts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