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1B_98/2015 vom 28. Juli 2015</w:t>
      </w:r>
    </w:p>
    <w:p>
      <w:r>
        <w:t>Bundesgericht, 2015-07-28, FR</w:t>
      </w:r>
    </w:p>
    <w:p>
      <w:r>
        <w:rPr>
          <w:b/>
        </w:rPr>
        <w:t xml:space="preserve">Quelle: </w:t>
      </w:r>
      <w:r>
        <w:t>https://mcp.opencaselaw.ch/entscheid/bger_1B_98_2015</w:t>
      </w:r>
    </w:p>
    <w:p>
      <w:r>
        <w:t>FR: TF 1B_98/2015 du 28 juillet 2015</w:t>
      </w:r>
    </w:p>
    <w:p>
      <w:r>
        <w:t>IT: TF 1B_98/2015 del 28 luglio 2015</w:t>
      </w:r>
    </w:p>
    <w:p>
      <w:pPr>
        <w:pStyle w:val="Heading2"/>
      </w:pPr>
      <w:r>
        <w:t>Erwägungen</w:t>
      </w:r>
    </w:p>
    <w:p>
      <w:r>
        <w:rPr>
          <w:b/>
        </w:rPr>
        <w:t>E. 1</w:t>
      </w:r>
    </w:p>
    <w:p>
      <w:r>
        <w:t>Le recours - déposé en temps utile ( art. 100 al. 1 LTF ) - est dirigé contre une décision prise en dernière instance cantonale ( art. 80 LTF ), dans le cadre du refus par l'autorité de jugement de première instance d'autoriser l'avocat G.________ à défendre les six prévenus recourants. Le recours est donc en principe recevable comme un recours en matière pénale au sens des art. 78 ss LTF (arrêt 1B_420/2011 du 21 novembre 2011 consid. 1.1).</w:t>
      </w:r>
    </w:p>
    <w:p>
      <w:r>
        <w:t>La décision relative à l'interdiction de procéder constitue une décision incidente (arrêts 4A_140/2013 du 4 juillet 2013 consid. 1.1; 1B_420/2011 du 21 novembre 2011 consid. 1.2). L'existence d'un préjudice irréparable au sens de l' art. 93 al. 1 let. a LTF doit être en l'espèce admise pour l'ensemble des recourants qui se voient privés définitivement, pour l'avocat recourant, de défendre ses clients dans la procédure pénale ouverte à leur encontre et, pour les recourants syndicalistes et ex-employés, de choisir le premier en tant qu'avocat. Destinataires de la décision attaquée, les recourants disposent également de la qualité pour recourir ( art. 81 al. 1 let. a et b LTF ), puisqu'ils se prévalent en substance du droit de l'avocat de défendre plusieurs prévenus dans une même procédure pénale en l'absence - alléguée - de tout conflit d'intérêts (cf. art. 127 al. 3 CPP et 12 let. c de la loi fédérale du 23 juin 2000 sur la libre circulation des avocats [LLCA; RS 935.61]).</w:t>
      </w:r>
    </w:p>
    <w:p>
      <w:r>
        <w:t>Partant, il y a lieu d'entrer en matière.</w:t>
      </w:r>
    </w:p>
    <w:p>
      <w:r>
        <w:rPr>
          <w:b/>
        </w:rPr>
        <w:t>E. 2</w:t>
      </w:r>
    </w:p>
    <w:p>
      <w:r>
        <w:t>Les recourants reprochent à l'Autorité de recours en matière pénale une violation des art. 127 CPP et 12 let. c LLCA. Ils soutiennent à cet égard qu'il n'existerait aucun élément permettant de retenir l'existence d'un conflit d'intérêts. Selon les recourants, les faits reprochés aux deux groupes de prévenus ne seraient pas les mêmes, ceux-ci ne pouvant ainsi pas se rejeter la responsabilité mutuelle de leurs actes.</w:t>
      </w:r>
    </w:p>
    <w:p>
      <w:r>
        <w:rPr>
          <w:b/>
        </w:rPr>
        <w:t>E. 2.1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s.; arrêts 1B_376/2013 du 18 novembre 2013 consid. 3; 1B_420/2011 du 21 novembre 2011 consid. 1.2.2; 2C_688/2009 du 25 mars 2010 consid. 3.1 in SJ 2010 I p. 433).</w:t>
      </w:r>
    </w:p>
    <w:p>
      <w:r>
        <w:t>Les règles susmentionnées visent avant tout à protéger les intérêts des clients de l'avocat, en leur garantissant une défense exempte de conflit d'intérêts (arrêt 1B_420/2011 du 21 novembre 2011 consid. 1.2.2 ).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1B_376/2013 du 18 novembre 2013 consid. 3).</w:t>
      </w:r>
    </w:p>
    <w:p>
      <w:r>
        <w:t>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reporter ou de diminuer sa propre culpabilité sur les autres ( GRODECKI/ JEANDIN, Approche critique de l'interdiction de postuler chez l'avocat aux prises avec un conflit d'intérêts, in SJ 2015 II p. 107 ss, n° VII p. 122 s. et les références citées).</w:t>
      </w:r>
    </w:p>
    <w:p>
      <w:r>
        <w:rPr>
          <w:b/>
        </w:rPr>
        <w:t>E. 2.2</w:t>
      </w:r>
    </w:p>
    <w:p>
      <w:r>
        <w:t>En l'occurrence, les recourants soutiennent tout d'abord que la question d'un possible conflit d'intérêts aurait été tranchée de manière définitive par la décision du Ministère public du 6 mai 2013 admettant la représentation des six prévenus par l'avocat G.________. Cependant, l'autorité en charge de la procédure statue d'office et en tout temps sur la capacité de postuler d'un mandataire professionnel (arrêt 1B_149/2013 du 5 septembre 2013 consid. 2.4.2 in fine). L'hypothèse d'un conflit d'intérêts peut en effet survenir au cours de la procédure, notamment en raison de son évolution ou d'un changement de circonstances, et l'autorité doit pouvoir agir. Une telle situation peut notamment résulter de nouvelles mesures d'instruction (cf. en l'espèce la liste des opérations intervenues postérieurement au 6 mai 2013) ou des audiences à venir (cf. la future séance devant l'autorité de jugement).</w:t>
      </w:r>
    </w:p>
    <w:p>
      <w:r>
        <w:t>En ce qui concerne ensuite un possible conflit d'intérêts, il ne semble pas contesté que les faits reprochés aux deux groupes de prévenus soient différents. Toutefois, ils ont manifestement trait à une même problématique, soit en substance la pratique salariale adoptée par les plaignants. Certes, le syndicaliste C.________ a déclaré que les trois employés en cause n'avaient rien à voir avec l'action menée par le syndicat (cf. son audition du 11 avril 2013, lignes 244 s.). Cela ne permet toutefois pas d'exclure toute relation de cause à effet entre le contenu des déclarations faites au syndicat par les travailleurs - ce qui leur est, à titre individuel, reproché - et la décision de celui-ci d'agir. Cela vaut d'autant plus que le prévenu C.________ a aussi reconnu que si les travailleurs s'étaient opposés à leur action, celle-ci n'aurait pas eu lieu (cf. ligne 260 de son procès-verbal d'audition). Ce processus en cascade a été relevé avec raison par la Juge du Tribunal de police dans la décision à l'origine de cette procédure. Un tel argument pourrait d'ailleurs être invoqué afin de plaider une éventuelle atténuation de responsabilité, certes peut-être sans volonté de charger les autres co-prévenus. Cela suffit cependant pour considérer que la présence d'un mandataire commun pour les deux catégories de prévenus ne permet pas d'assurer une défense adéquate de ceux-ci.</w:t>
      </w:r>
    </w:p>
    <w:p>
      <w:r>
        <w:t>Partant, un risque concret de conflit d'intérêts existe dans cette procédure et l'Autorité de recours en matière pénale n'a pas violé le droit fédéral en confirmant l'absence de capacité de postuler de l'avocat G.________ dans la présente cause, que ce soit en faveur des prévenus syndicalistes ou des ex-employés des plaignants.</w:t>
      </w:r>
    </w:p>
    <w:p>
      <w:r>
        <w:rPr>
          <w:b/>
        </w:rPr>
        <w:t>E. 3</w:t>
      </w:r>
    </w:p>
    <w:p>
      <w:r>
        <w:t>Il s'ensuit que le recours est rejeté.</w:t>
      </w:r>
    </w:p>
    <w:p>
      <w:r>
        <w:t>Les recourants, qui succombent, supportent solidairement les frais de la procédure ( art. 66 al. 1 LTF ). Les intimés, assistés par un mandataire professionnel, ont droit à une indemnité de dépens à la charge solidaire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