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98/2014 vom 31. März 2014</w:t>
      </w:r>
    </w:p>
    <w:p>
      <w:r>
        <w:t>Bundesgericht, 2014-03-31, FR</w:t>
      </w:r>
    </w:p>
    <w:p>
      <w:r>
        <w:rPr>
          <w:b/>
        </w:rPr>
        <w:t xml:space="preserve">Quelle: </w:t>
      </w:r>
      <w:r>
        <w:t>https://mcp.opencaselaw.ch/entscheid/bger_1B_98_2014</w:t>
      </w:r>
    </w:p>
    <w:p>
      <w:r>
        <w:t>FR: TF 1B 98/2014 du 31 mars 2014</w:t>
      </w:r>
    </w:p>
    <w:p>
      <w:r>
        <w:t>IT: TF 1B 98/2014 del 31 marzo 2014</w:t>
      </w:r>
    </w:p>
    <w:p>
      <w:pPr>
        <w:pStyle w:val="Heading2"/>
      </w:pPr>
      <w:r>
        <w:t>Regeste</w:t>
      </w:r>
    </w:p>
    <w:p>
      <w:r>
        <w:t>détention provisoire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 138 I 435 consid. 1 p. 439).</w:t>
      </w:r>
    </w:p>
    <w:p>
      <w:r>
        <w:rPr>
          <w:b/>
        </w:rPr>
        <w:t>E. 1.1</w:t>
      </w:r>
    </w:p>
    <w:p>
      <w:r>
        <w:t>Formé en temps utile ( art. 100 al. 1 LTF ), le recours en matière pénale ( art. 78 al. 1 LTF ) est ouvert contre une décision rendue en dernière instance cantonale ( art. 80 LTF ) relative à la détention provisoire ou pour motifs de sûreté au sens des art. 212 ss CPP ( ATF 137 IV 22 consid. 1 p. 23).</w:t>
      </w:r>
    </w:p>
    <w:p>
      <w:r>
        <w:rPr>
          <w:b/>
        </w:rPr>
        <w:t>E. 1.2</w:t>
      </w:r>
    </w:p>
    <w:p>
      <w:r>
        <w:t>La recevabilité de ce type de recours dépend encore de l'existence d'un intérêt juridique à l'annulation de la décision entreprise ( art. 81 al. 1 let. b LTF ). De cette manière, se concrétise l'assurance de trancher uniquement des questions concrètes et non de prendre des décisions à caractère théorique, ce qui répond à un souci d'économie de procédure ( ATF 136 I 274 consid. 1.3 p. 276). Ainsi, une partie qui n'est pas concrètement lésée par la décision ne possède pas la qualité pour recourir. Il faut, en d'autres termes, que la décision de la juridiction supérieure lui procure l'avantage de droit matériel qu'il recherche. Dans la négative, un tel recours est irrecevable (Niklaus Oberholzer, Grundzüge des Strafprozessrechts, 3ème éd. 2012, no 1561; Piquerez/ Macaluso, Procédure pénale suisse, 3ème éd. 2011, no 1911). Le droit de recourir au Tribunal fédéral suppose aussi l'existence d'un intérêt actuel et pratique à obtenir l'annulation de la décision litigieuse, respectivement à l'examen des griefs soulevés ( ATF 137 I 296 consid. 4.2 p. 299; 137 IV 87 consid. 1 p. 88); en particulier, un intérêt de pur fait ou la simple perspective d'un intérêt juridique futur ne suffit pas ( ATF 127 III 41 consid. 2b p. 42; 120 Ia 165 consid. 1a p. 166 et les arrêts cités).</w:t>
      </w:r>
    </w:p>
    <w:p>
      <w:r>
        <w:rPr>
          <w:b/>
        </w:rPr>
        <w:t>E. 1.2.1</w:t>
      </w:r>
    </w:p>
    <w:p>
      <w:r>
        <w:t>S'agissant tout d'abord des conclusions en constatation des violations alléguées des droits procéduraux - type de conclusions à caractère généralement subsidiaire par rapport à celles condamnatoires ou formatrices (arrêts 1B_129/2013 du 26 juin 2013 consid. 2.2; 1C_79/2009 du 24 septembre 2009 consid. 3.5 publié in ZBI 2011 p. 275) -, le recourant ne dispose, dans la procédure de contrôle de la détention, d'aucun intérêt pratique et actuel à une telle constatation, n'étant pas lésé sur ce point par la décision entreprise. En effet, la cour cantonale n'a pas retenu à sa charge les déclarations faites lors des audiences auxquelles il n'a pas participé et a fondé son raisonnement uniquement sur celles tenues par le gardien le 29 novembre 2013 devant la police, ainsi que sur celles faites par le plaignant lors de l'audience de confrontation du 7 janvier 2014. Le recourant ne prétend pas non plus avoir été victime de mauvais traitements au sens des art. 10 al. 3 Cst. et 3 CEDH, situation particulière dans laquelle la jurisprudence admet que l'autorité chargée du contrôle de la détention vérifie également si celle-ci a lieu dans des conditions acceptables et fasse, cas échéant, les constatations nécessaires ( ATF 139 IV 41 consid. 3.4 p. 45; 138 IV 86 consid. 3.1.1 p. 88). Partant, les conclusions en constatation du recourant sont irrecevables.</w:t>
      </w:r>
    </w:p>
    <w:p>
      <w:r>
        <w:rPr>
          <w:b/>
        </w:rPr>
        <w:t>E. 1.2.2</w:t>
      </w:r>
    </w:p>
    <w:p>
      <w:r>
        <w:t>S'agissant ensuite de la conclusion tenant à sa libération immédiate, il y a lieu de constater que l'ordonnance du Tmc, à l'origine de la présente procédure et confirmée par la décision attaquée, prolongeait la détention jusqu'au 8 mars 2014. Or le recourant n'a déposé son mémoire devant le Tribunal de céans que deux jours plus tard, sans indiquer si une éventuelle demande de prolongation de sa détention provisoire avait été déposée par le Ministère public, requête qui en principe intervient préalablement à l'échéance du titre de détention. Dans ses déterminations du 24 mars 2014, le recourant ne donne toujours aucune indication à ce propos. Cependant, le recourant dispose d'un intérêt actuel et pratique à l'examen de ses griefs relatifs à la détention provisoire. En effet, dans l'hypothèse où son recours serait admis et qu'un terme serait mis à la détention provisoire, les jours de détention subis dans ce cadre pourraient, cas échéant, être imputés sur le solde de la peine à exécuter et en raison de laquelle il se trouvait à la prison de X.________. Par conséquent, il y a lieu d'entrer en matière.</w:t>
      </w:r>
    </w:p>
    <w:p>
      <w:r>
        <w:rPr>
          <w:b/>
        </w:rPr>
        <w:t>E. 2</w:t>
      </w:r>
    </w:p>
    <w:p>
      <w:r>
        <w:t>Invoquant les art. 379 ss, 382 al. 1, 393 ss CPP et 29 al. 1 Cst., le recourant reproche à l'autorité précédente une application erronée des règles relatives à la recevabilité du recours. Selon lui, les juges cantonaux auraient dû examiner ses reproches relatifs à ses droits de procédure. A l'appui de ce grief, le recourant a indiqué qu'il n'avait "sollicité ni l'ajournement de l'administration d'une preuve, ni le retrait du dossier ou [...] la destruction immédiate de preuves viciées mais uniquement le constat de l'inexploitabilité de déclarations obtenues en violation de l' art. 147 al. 1 CPP "; puis il a mentionné que "l'admission de son recours ne consacrerait pas une solution définitive et n'empêcherait en rien que la question puisse être à nouveau soulevée jusqu'à la clôture définitive de la procédure". Ce faisant, le recourant reconnaît que son grief relatif à l'administration des preuves pourra être à nouveau invoqué dans la suite de la procédure et ne se trouve ainsi pas lésé par l'ordonnance rendue par le Tmc. Partant, il n'avait aucun intérêt actuel et pratique - condition également requise au niveau de la recevabilité d'un recours par l' art. 382 al. 1 CPP (arrêt 1B_669/2012 du 12 mars 2013 consid. 2.3.1; cf. également consid. 1.2 ci-dessus) - à requérir la constatation de l'éventuelle violation de ses droits procéduraux par la cour cantonale. Au demeurant, si le Ministère public a requis de la police d'entendre les comparants séparément, il a également indiqué immédiatement et à plusieurs reprises que ces mesures d'instruction pourraient être répétées devant lui si nécessaire (cf. les mandats d'actes d'enquête du 29 novembre, du 2, du 4 et du 19 décembre 2013, le courrier adressé au recourant le 13 janvier 2014, ainsi que les déterminations déposées devant l'autorité cantonale et devant le Tribunal de céans). Le recourant ne se trouve ainsi pas privé de manière définitive de participer à l'administration des preuves. La Chambre pénale de recours pouvait donc sans violer le droit fédéral ne pas entrer en matière sur ces griefs. Partant, ce grief doit être écarté.</w:t>
      </w:r>
    </w:p>
    <w:p>
      <w:r>
        <w:rPr>
          <w:b/>
        </w:rPr>
        <w:t>E. 3</w:t>
      </w:r>
    </w:p>
    <w:p>
      <w:r>
        <w:t>Se référant notamment aux art. 5 CEDH , 10 al. 2, 31 al. 1, 36 al. 1 Cst. et 221 al. 1 CPP, le recourant reproche à l'instance cantonale d'avoir retenu l'existence de charges suffisantes de sa culpabilité.</w:t>
      </w:r>
    </w:p>
    <w:p>
      <w:r>
        <w:rPr>
          <w:b/>
        </w:rPr>
        <w:t>E. 3.1</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un risque de fuite ou un danger de collusion ou de réitération (art. 221 al. 1 let. a, b et c CPP).</w:t>
      </w:r>
    </w:p>
    <w:p>
      <w:r>
        <w:rPr>
          <w:b/>
        </w:rPr>
        <w:t>E. 3.1.1</w:t>
      </w:r>
    </w:p>
    <w:p>
      <w:r>
        <w:t>Préalablement à l'examen de ces hypothèses, il doit exister à l'égard de l'intéressé des charges suffisantes ou des indices sérieux de culpabilité ( art. 221 al. 1 CPP ; art. 5 §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rPr>
          <w:b/>
        </w:rPr>
        <w:t>E. 3.1.2</w:t>
      </w:r>
    </w:p>
    <w:p>
      <w:r>
        <w:t>En l'occurrence, il est admis que le prévenu C.________ a donné des coups de couteau à la victime et détenait à la fin de l'agression deux couteaux. Quant au recourant, il conteste toute implication lors de ces événements. Il appartiendra certes au juge du fond d'apprécier la crédibilité des propos tenus par les différents protagonistes entendus dans cette cause et de se prononcer sur l'éventuelle culpabilité du recourant, respectivement sur son degré de participation. Cela étant, différents éléments permettent, à ce stade de l'instruction et dans le cadre du contrôle de la détention, de retenir que celui-ci pourrait avoir eu un rôle dans les événements du 28 novembre 2013. Cette hypothèse a d'ailleurs été envisagée dès le jour même de l'agression, puisque le recourant a été mis en cause par des autres détenus ainsi que l'ont rapporté les gardiens qui sont intervenus (cf. les rapports d'intervention de l'appointé E.________ et du gardien F.________ établis le 28 novembre 2013). Lors de ses deux auditions, le plaignant a fait état de menaces perpétrées à son encontre par le recourant (cf. ses déclarations du 30 novembre 2013 [p. 4] et du 7 janvier 2014 [p. 2]), précisant en particulier la seconde fois que C.________ aurait été présent. Si effectivement la victime varie s'agissant du moment où ces menaces auraient eu lieu ("une semaine avant", "le jour d'avant" et "deux semaines avant"), le contenu des menaces alléguées est en revanche constant, soit de se voir frapper de manière à ce que sa famille ne le reconnaisse plus (cf. les procès-verbaux susmentionnés [p. 4, respectivement p. 2]). Cela suffit pour retenir l'existence d'une forte tension entre le plaignant et le recourant. S'agissant ensuite du 28 novembre 2013, le recourant se trouvait dans la cuisine. Un premier échange verbal semble l'avoir opposé au plaignant (cf. les déclarations du recourant du 6 décembre 2013 [p. 3]), venant ainsi confirmer l'hypothèse de tensions entre ces deux détenus. Puis, au moment de l'agression, le recourant a reconnu s'être approché à un moment donné du lieu de la dispute, certes, selon lui, afin de calmer son compatriote (cf. les procès-verbaux du 2 [p. 3] et du 13 décembre 2013 [p. 3 ss]). Il tenait cependant alors deux couteaux et, selon le plaignant, les lui aurait montrés avant que C.________ ne le saisisse par le col (cf. le procès-verbal du 7 janvier 2014 [p. 3]). Si le recourant conteste ces éléments, cela suffit cependant, au regard de l'ensemble du contexte, pour retenir qu'il pourrait avoir pris part aux actes commis le 28 novembre 2013 à l'encontre du plaignant. Au vu de ces circonstances, la Chambre pénale de recours pouvait retenir, à ce stade de la procédure, l'existence de charges suffisantes à l'encontre du recourant. Partant, ce grief doit être rejeté.</w:t>
      </w:r>
    </w:p>
    <w:p>
      <w:r>
        <w:rPr>
          <w:b/>
        </w:rPr>
        <w:t>E. 3.1.3</w:t>
      </w:r>
    </w:p>
    <w:p>
      <w:r>
        <w:t>Selon l' art. 221 al. 1 CPP , la détention provisoire peut être ordonnée s'il y a sérieusement lieu de craindre que le prévenu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Afin de respecter le principe de proportionnalité ( art. 36 al. 3 Cst. ), l' art. 237 al. 1 CPP prévoit que le tribunal compétent ordonne une ou plusieurs mesures moins sévères en lieu et place de la détention si celles-ci permettent d'atteindre le même but. En l'espèce, le recourant ne remet pas en cause les risques de fuite (nationalité et peine encourue), de collusion (par rapport à ses deux compatriotes prévenus, à la victime et aux témoins), ainsi que de réitération (au regard de l'extrême violence des actes en cause) retenus par le Tmc et confirmés par les juges précédents. Il ne soutient pas non plus que des mesures de substitution adéquates permettraient de pallier ces risques et que le principe de proportionnalité serait violé.</w:t>
      </w:r>
    </w:p>
    <w:p>
      <w:r>
        <w:rPr>
          <w:b/>
        </w:rPr>
        <w:t>E. 3.2</w:t>
      </w:r>
    </w:p>
    <w:p>
      <w:r>
        <w:t>Partant, la Chambre pénale de recours n'a pas violé le droit fédéral lorsqu'elle a confirmé la décision du Tmc ordonnant la mise en détention provisoire du recourant.</w:t>
      </w:r>
    </w:p>
    <w:p>
      <w:r>
        <w:rPr>
          <w:b/>
        </w:rPr>
        <w:t>E. 4</w:t>
      </w:r>
    </w:p>
    <w:p>
      <w:r>
        <w:t>Il s'ensuit que le recours doit être rejeté dans la mesure de sa recevabilité. Le recourant a demandé l'assistance judiciaire et les conditions en paraissent réunies ( art. 64 al. 1 LTF ). Il y a lieu de désigner Me Ilir Cenko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