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1B_96/2019 vom 28. Februar 2019</w:t>
      </w:r>
    </w:p>
    <w:p>
      <w:r>
        <w:t>Bundesgericht, 2019-02-28, DE</w:t>
      </w:r>
    </w:p>
    <w:p>
      <w:r>
        <w:rPr>
          <w:b/>
        </w:rPr>
        <w:t xml:space="preserve">Quelle: </w:t>
      </w:r>
      <w:r>
        <w:t>https://mcp.opencaselaw.ch/entscheid/bger_1B_96_2019</w:t>
      </w:r>
    </w:p>
    <w:p>
      <w:r>
        <w:t>FR: TF 1B_96/2019 du 28 février 2019</w:t>
      </w:r>
    </w:p>
    <w:p>
      <w:r>
        <w:t>IT: TF 1B_96/2019 del 28 febbraio 2019</w:t>
      </w:r>
    </w:p>
    <w:p>
      <w:pPr>
        <w:pStyle w:val="Heading2"/>
      </w:pPr>
      <w:r>
        <w:t>Erwägungen</w:t>
      </w:r>
    </w:p>
    <w:p>
      <w:r>
        <w:rPr>
          <w:b/>
        </w:rPr>
        <w:t>E. 1</w:t>
      </w:r>
    </w:p>
    <w:p>
      <w:r>
        <w:t>A.________ erhob am 3. Januar 2018 Strafanzeige gegen die B.________ wegen "unbefugter Teilnahme an Abstimmungen bzw. Verfälschung von Abstimmungsergebnissen" im Zusammenhang mit Versammlungen der Miteigentümergemeinschaft C.________ in U.________. Am 9. Januar 2018 verfügte die Staatsanwaltschaft Muri-Bremgarten die Nichtanhandnahme der Strafsache. Gegen die Nichtanhandnahmeverfügung erhob A.________ am 23. Januar 2018 Beschwerde, welche die Beschwerdekammer in Strafsachen des Obergerichts des Kantons Aargau mit Entscheid vom 30. April 2018 guthiess und die Sache zur weiteren Behandlung an die Staatsanwaltschaft Muri-Bremgarten zurückwies.</w:t>
      </w:r>
    </w:p>
    <w:p>
      <w:r>
        <w:rPr>
          <w:b/>
        </w:rPr>
        <w:t>E. 2</w:t>
      </w:r>
    </w:p>
    <w:p>
      <w:r>
        <w:t>Mit Eingabe vom 30. Oktober 2018 erhob A.________ Rechtsverzögerungsbeschwerde gegen die Staatsanwaltschaft Muri-Bremgarten. Die Beschwerdekammer in Strafsachen des Obergerichts des Kantons Aargau wies die Beschwerde mit Entscheid vom 10. Januar 2019 ab, soweit sie darauf eintrat. Zur Begründung führte sie zusammenfassend aus, dass der Vorwurf, die Staatsanwaltschaft sei seit dem Entscheid der Beschwerdekammer in Strafsachen vom 30. April 2018 untätig gewesen bzw. habe eine Rechtsverzögerung begangen, unbegründet sei.</w:t>
      </w:r>
    </w:p>
    <w:p>
      <w:r>
        <w:rPr>
          <w:b/>
        </w:rPr>
        <w:t>E. 3</w:t>
      </w:r>
    </w:p>
    <w:p>
      <w:r>
        <w:t>A.________ führt mit Eingabe vom 23. Februar 2019 (Postaufgabe 25. Februar 2019) Beschwerde in Strafsachen gegen den Entscheid der Beschwerdekammer in Strafsachen des Obergerichts des Kantons Aargau.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Beschwerdekammer in Strafsachen legte dar, weshalb nach ihrer Auffassung der Vorwurf der Rechtsverzögerung unbegründet sei. Damit setzt sich der Beschwerdeführer nicht auseinander und vermag mit seinen nicht sachbezogenen Ausführungen nicht aufzuzeigen,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