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1B_95/2023 vom 8. März 2023</w:t>
      </w:r>
    </w:p>
    <w:p>
      <w:r>
        <w:t>Bundesgericht, 2023-03-08, DE</w:t>
      </w:r>
    </w:p>
    <w:p>
      <w:r>
        <w:rPr>
          <w:b/>
        </w:rPr>
        <w:t xml:space="preserve">Quelle: </w:t>
      </w:r>
      <w:r>
        <w:t>https://mcp.opencaselaw.ch/entscheid/bger_1B_95_2023</w:t>
      </w:r>
    </w:p>
    <w:p>
      <w:r>
        <w:t>FR: TF 1B_95/2023 du 8 mars 2023</w:t>
      </w:r>
    </w:p>
    <w:p>
      <w:r>
        <w:t>IT: TF 1B_95/2023 del 8 marzo 2023</w:t>
      </w:r>
    </w:p>
    <w:p>
      <w:pPr>
        <w:pStyle w:val="Heading2"/>
      </w:pPr>
      <w:r>
        <w:t>Erwägungen</w:t>
      </w:r>
    </w:p>
    <w:p>
      <w:r>
        <w:rPr>
          <w:b/>
        </w:rPr>
        <w:t>E. 1</w:t>
      </w:r>
    </w:p>
    <w:p>
      <w:r>
        <w:t>Angefochten ist ein kantonal letztinstanzlicher Entscheid der Vorinstanz betreffend die Verlängerung von Untersuchungshaft. Dagegen steht die Beschwerde in Strafsachen nach Art. 78 ff. BGG grundsätzlich offen. Der Beschwerdeführer hat am vorinstanzlichen Verfahren teilgenommen und befindet sich, nachdem das Zwangsmassnahmengericht die Untersuchungshaft mit Verfügung vom 13. Januar 2023 bis zum 13. April 2023 verlängert hat, weiterhin in Haft. Er ist deshalb nach Art. 81 Abs. 1 BGG zur Beschwerde berechtigt. Die übrigen Sachurteilsvoraussetzungen geben zu keinen Bemerkungen Anlass. Auf die Beschwerde ist einzutreten.</w:t>
      </w:r>
    </w:p>
    <w:p>
      <w:r>
        <w:rPr>
          <w:b/>
        </w:rPr>
        <w:t>E. 2.1</w:t>
      </w:r>
    </w:p>
    <w:p>
      <w:r>
        <w:t>Der Beschwerdeführer rügt eine offensichtlich unrichtige Feststellung des Sachverhalts durch die Vorinstanz. Er führt aus, es treffe nicht zu, dass er anlässlich des ihm vorgeworfenen Vorfalls vom 26. Oktober 2022 aus seinem Fahrzeug ausgestiegen sei, um die Geschädigte zu bedrohen, wie die Vorinstanz behaupte.</w:t>
      </w:r>
    </w:p>
    <w:p>
      <w:r>
        <w:rPr>
          <w:b/>
        </w:rPr>
        <w:t>E. 2.2</w:t>
      </w:r>
    </w:p>
    <w:p>
      <w:r>
        <w:t>Nach Art. 105 Abs. 1 BGG legt das Bundesgericht seinem Urteil den von der Vorinstanz festgestellten Sachverhalt zugrunde, es sei denn, dieser sei offensichtlich unrichtig, d.h. willkürlich, erhoben worden (vgl. Art. 97 Abs. 1 und Art. 105 Abs. 2 BGG ).</w:t>
      </w:r>
    </w:p>
    <w:p>
      <w:r>
        <w:rPr>
          <w:b/>
        </w:rPr>
        <w:t>E. 2.3</w:t>
      </w:r>
    </w:p>
    <w:p>
      <w:r>
        <w:t>Wie der Beschwerdeführer zu Recht einwendet, hat die Geschädigte in ihren Einvernahmen bei der Polizei und der Staatsanwaltschaft übereinstimmend ausgesagt, dass der Beschwerdeführer nicht bzw. zu keinem Moment ausgestiegen sei. Die Vorinstanz hat den Sachverhalt diesbezüglich offensichtlich unrichtig festgestellt, wenn sie erwog, "Auf dem Parkplatz der Arbeitsstelle der Geschädigten soll der Beschwerdeführer ausgestiegen sein und in aggressiver Weise zur Geschädigten gesagt haben (...) ". Dem Beschwerdeführer ist zuzustimmen, dass dieser Sachverhaltsaspekt für die vorliegende Beurteilung des Haftgrunds relevant ist (vgl. E. 4.3 hiernach). Eine allfällige Drohung aus dem Innern des Fahrzeugs ist weniger unmittelbar, als wenn der Beschwerdeführer ausgestiegen wäre, der Geschädigten direkt gegenüber gestanden hätte und die Drohung allenfalls auch unmittelbar hätte umsetzen können. Das Bundesgericht hat den Sachverhalt insofern zu berichtigen. Die Rüge erweist sich als begründet.</w:t>
      </w:r>
    </w:p>
    <w:p>
      <w:r>
        <w:rPr>
          <w:b/>
        </w:rPr>
        <w:t>E. 3.1</w:t>
      </w:r>
    </w:p>
    <w:p>
      <w:r>
        <w:t>Der Beschwerdeführer ist weiter der Auffassung, die Vorinstanz habe seinen Anspruch auf rechtliches Gehör gemäss Art. 29 Abs. 2 BV , Art. 6 EMRK sowie Art. 107 Abs. 1 StPO verletzt, indem sie den Haftgrund der Wiederholungsgefahr bejaht habe, obschon dieser bis anhin nie ausdrücklich thematisiert worden sei. Die Vorinstanz hätte ihm zumindest im Rahmen eines Schriftenwechsels die Möglichkeit einräumen müssen, zum neuen Haftgrund Stellung zu nehmen.</w:t>
      </w:r>
    </w:p>
    <w:p>
      <w:r>
        <w:rPr>
          <w:b/>
        </w:rPr>
        <w:t>E. 3.2</w:t>
      </w:r>
    </w:p>
    <w:p>
      <w:r>
        <w:t>Die vom Beschwerdeführer erhobene Verfahrensrüge erweist sich als begründet. Der Argumentation der Vorinstanz, der Beschwerdeführer habe angesichts der gutachterlichen Ausführungen in der Vorabstellungnahme der Psychiatrischen Universitätsklinik Zürich damit rechnen müssen, dass der besondere Haftgrund durch das Gericht noch angerufen werden könnte und es ihm unbenommen gewesen wäre, sich eventualiter zur Wiederholungsgefahr zu äussern, hält einer Überprüfung nicht stand. Dass die Verfahrensleitung eine psychiatrische Risikobeurteilung anordnet, entbindet die Haftprüfungsinstanzen nicht per se davon, dem Beschuldigten das rechtliche Gehör ausreichend zu gewähren und bei neu auftauchenden Haftgründen (oder anderen entscheiderheblichen neuen rechtlichen oder tatsächlichen Gesichtspunkten ihm eine Möglichkeit zur Stellungnahme einzuräumen, sei dies schriftlich oder anlässlich einer mündlichen Haftverhandlung (vgl. betreffend mündlicher Haftverhandlung: Urteil 1B_413/2021 vom 12. August 2021 E. 3.3). Dies gilt umso mehr, als das Zwangsmassnahmengericht am 13. Januar 2023 die Verlängerung der Untersuchungshaft wegen Ausführungsgefahr anordnete und nicht etwa wegen Wiederholungsgefahr, obschon ihm die Vorabstellungnahme der Psychiatrischen Universitätsklinik Zürich vom 22. Dezember 2022 bereits vorlag. In Anbetracht des Umstands, dass die Vorinstanz gegenüber der ursprünglichen Haftanordnung sowie des Entscheids des Zwangsmassnahmengerichts vom 13. Januar 2023 von den bisherigen besonderen Haftgründen abgewichen ist, indem sie erstmals den Haftgrund der Wiederholungsgefahr bejaht hat, ohne dem Beschwerdeführer die Möglichkeit zur Stellungnahme einzuräumen, hat sie dessen Anspruch auf rechtliches Gehör verletzt. Ob bereits diese Verletzung des Gehörsanspruchs zur Haftentlassung führen würde, kann vorliegend offen bleiben. Die Haft erweist sich, wie nachfolgend aufzuzeigen ist, ohnehin als ungerechtfertigt.</w:t>
      </w:r>
    </w:p>
    <w:p>
      <w:r>
        <w:rPr>
          <w:b/>
        </w:rPr>
        <w:t>E. 4</w:t>
      </w:r>
    </w:p>
    <w:p>
      <w:r>
        <w:t>Nach Art. 221 Abs. 1 StPO ist Untersuchungshaft unter anderem dann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(Wiederholungsgefahr; lit. c). Das zuständige Gericht ordnet anstelle der Haft eine oder mehrere mildere Massnahmen an, wenn sie den gleichen Zweck erfüllen ( Art. 237 Abs. 1 StPO ).</w:t>
      </w:r>
    </w:p>
    <w:p>
      <w:r>
        <w:rPr>
          <w:b/>
        </w:rPr>
        <w:t>E. 4.1</w:t>
      </w:r>
    </w:p>
    <w:p>
      <w:r>
        <w:t>Der Beschwerdeführer bestreitet vor Bundesgericht den dringenden Tatverdacht nicht. Er macht aber geltend, es liege keine haftbegründende Wiederholungsgefahr nach Art. 221 Abs. 1 lit. c StPO vor. Es sei weder das Vortatenerfordernis erfüllt noch bestehe eine schwerwiegende Sicherheitsgefährdung durch ihn. Es gehe nicht an, einer noch nie wegen Gewaltsvorkommnissen in Erscheinung getretenen Person einzig aufgrund deren psychischen Erkrankung und wegen des Verdachts auf verbale Ausfälligkeiten sowie allenfalls Drohungen die Freiheit prophylaktisch zu entziehen.</w:t>
      </w:r>
    </w:p>
    <w:p>
      <w:r>
        <w:rPr>
          <w:b/>
        </w:rPr>
        <w:t>E. 4.2</w:t>
      </w:r>
    </w:p>
    <w:p>
      <w:r>
        <w:t>Es ist unbestritten, dass der Beschwerdeführer an einer psychischen Erkrankung leidet und sich deswegen seit mehreren Jahren in psychiatrischer Behandlung befindet. Ebenfalls unbestritten ist weiter, dass der Beschwerdeführer nicht vorbestraft ist. Die Vorinstanz erwog aber, das Vortatenerfordernis sei dennoch als erfüllt zu betrachten, da eine erdrückende Beweislage in Bezug auf die untersuchten Todesdrohungen zu bejahen sei. Drohungen der vorliegenden Art würden zweifellos schwere Vergehen darstellen, die geeignet seien, die Sicherheit anderer erheblich zu gefährden. Zudem liege auch eine ungünstige Rückfallprognose vor, weshalb die Wiederholungsgefahr zu bejahen sei.</w:t>
      </w:r>
    </w:p>
    <w:p>
      <w:r>
        <w:rPr>
          <w:b/>
        </w:rPr>
        <w:t>E. 4.3</w:t>
      </w:r>
    </w:p>
    <w:p>
      <w:r>
        <w:t>Dieser Auffassung kann nicht gefolgt werden. Drohungen im Sinne von Art. 180 StGB können zwar nach der bundesgerichtlichen Rechtsprechung die Anordnung von Präventivhaft begründen, da sie die Sicherheitslage einer Person erheblich beeinträchtigen können. Todesdrohungen können schwere Vergehen darstellen, die die Annahme von Wiederholungsgefahr rechtfertige können (vgl. BGE 143 IV 9 E. 2.7, Urteil 1B_449/2017 vom 13. November 2017 E. 3.5.1.2; je mit Hinweisen). Es trifft zwar zu, dass sich gemäss der bundesgerichtlichen Rechtsprechung das Vortatenerfordernis auch aus Straftaten ergeben kann, die Gegenstand eines noch hängigen Strafverfahrens bilden ( BGE 143 IV 9 E. 2.3.1 mit Hinweisen). Die Anwendung des restriktiv zu handhabenden Haftgrunds der Wiederholungsgefahr auf Ersttäter ist aber auf Ausnahmefälle zu beschränken (vgl. Urteil 1B_91/2022 vom 18. März 2022 E. 4.1 mit Hinweis). Ein solcher Ausnahmefall liegt hier nicht vor. Der Beschwerdeführer ist vorliegend nicht geständig, die angeblichen Todesdrohungen gegenüber der Geschädigten und dem Polizisten ausgestossen zu haben. Vielmehr macht er geltend, dass es zwar zu einer verbalen Auseinandersetzung gekommen sei, er aber die ihm vorgeworfenen Worte nicht gewählt habe, da er diese nicht in seinem Wortschatz habe. Einzig ein dringender Tatverdacht für die Annahme von die Wiederholungsgefahr begründenden Vortaten reicht, entgegen der Auffassung der Vorinstanz, für die Anordnung von Haft wegen Wiederholungsgefahr nicht aus (vgl. Urteil 1B_91/2022 vom 18. März 2022 E. 4.1 mit Hinweis).</w:t>
      </w:r>
    </w:p>
    <w:p>
      <w:r>
        <w:t>Selbst wenn indessen das Vortatenerfordernis als erfüllt zu betrachten wäre, läge der Haftgrund der Wiederholungsgefahr nicht vor, da auch keine erhebliche Sicherheitsgefährdung gegeben ist. Zwar können Todesdrohungen die Sicherheitslage einer Person, wie erwähnt, erheblich beeinträchtigen. Vorliegend gibt es aber keine Hinweise auf eine besondere Gefährlichkeit oder ein konkretes Gewaltpotential des Beschwerdeführers, weshalb nicht von einer solchen Situation auszugehen ist. Vielmehr hält die ihn seit 21 Jahren behandelnde Fachärztin für Psychiatrie und Psychotherapie in ihrem Schreiben vom 28. Oktober 2022 fest, beim Beschwerdeführer bestünden zu keinem Zeitpunkt Hinweise auf Fremd- oder Selbstgefährdung und es habe, soweit bekannt, kein Ausagieren in Tätlichkeiten gegenüber Dritten gegeben. Daran ändert auch nichts, dass in der Vorabstellungnahme der Psychiatrischen Universitätsklinik Zürich vom 22. Dezember 2022 ausgeführt wird, es bestehe, sofern der Beschwerdeführer nicht ausreichend behandelt werde, ein hohes Risiko, dass er erneut Drohungen und aggressive Verhaltensauffälligkeiten zeige. Dies gilt umso mehr, als unbestritten ist, dass sich der psychisch kranke Beschwerdeführer behandeln lässt und auch weiterhin behandeln lassen will.</w:t>
      </w:r>
    </w:p>
    <w:p>
      <w:r>
        <w:t>Wie die ihn behandelnde Psychiaterin festhält, ist es zwar nachvollziehbar, dass der Beschwerdeführer in psychischen Krisen und kontextabhängig aufgrund seiner Statur und seiner verbalen Äusserungen sowie seiner Angespanntheit auf manche Personen bedrohlich wirken kann; dass er aber jemals jemanden tätlich angegriffen hätte, ist weder bekannt noch geltend gemacht. Für das fehlende Gewaltpotential des Beschwerdeführers spricht denn auch der Umstand, dass er, entgegen der willkürlichen vorinstanzlichen Feststellung (vgl. E. 2 hiervor), sein Fahrzeug während der verbalen Auseinandersetzung mit der Geschädigten nicht verlassen hat und es folglich nie zu einer direkten, körperlichen Konfrontation kommen konnte. Weiter zeigt auch die Aussage des Polizisten bei der Leibesvisitation auf dem Polizeiposten, als sich der Beschwerdeführer unbestrittenermassen in einer emotional belastenden Spezialsituation befand, auf, dass von diesem keine Gefährlichkeit ausgeht. So hat der Beschwerdeführer nach seiner Drohung und weiterem Zureden durch den Polizisten eingelenkt und die restliche Leibesvisitation konnte ohne weitere Unterbrüche durchgeführt werden. Die vom Beschwerdeführer möglicherweise künftig ausgehenden Drohungen stellen folglich mangels seiner Gefährlichkeit keine erhebliche Sicherheitsgefährdung dar und rechtfertigen keine mehrere Monate andauernde Inhaftierung. Dies gilt insbesondere auch unter Berücksichtigung der restriktiven Anwendung des besonderen Haftgrunds der Wiederholungsgefahr (vgl. BGE 146 IV 136 E. 2.2).</w:t>
      </w:r>
    </w:p>
    <w:p>
      <w:r>
        <w:t>Eine Wiederholungsgefahr im Sinne von Art. 221 Abs. 1 lit. c StPO ist folglich zu verneinen. Somit sind die Voraussetzungen für die Untersuchungshaft nicht mehr gegeben und der Beschwerdeführer ist unverzüglich aus der Haft zu entlassen. Damit erübrigt sich die Prüfung der Verhältnismässigkeit der Haftdauer.</w:t>
      </w:r>
    </w:p>
    <w:p>
      <w:r>
        <w:rPr>
          <w:b/>
        </w:rPr>
        <w:t>E. 5</w:t>
      </w:r>
    </w:p>
    <w:p>
      <w:r>
        <w:t>Nach dem Gesagten erweist sich die Beschwerde als begründet und ist gutzuheissen. Der angefochtene Beschluss der Vorinstanz ist aufzuheben und die Staatsanwaltschaft ist anzuweisen, den Beschwerdeführer unverzüglich aus der Haft zu entlassen.</w:t>
      </w:r>
    </w:p>
    <w:p>
      <w:r>
        <w:t>Bei diesem Ausgang des Verfahrens sind keine Gerichtskosten zu erheben ( Art. 66 Abs. 4 BGG ) und der Kanton Zürich hat dem Rechtsvertreter des Beschwerdeführers eine Entschädigung zu bezahlen ( Art. 68 BGG ). Das Gesuch um unentgeltliche Rechtspflege und Verbeiständung nach Art. 64 BGG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