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1B_95/2017 vom 25. April 2017</w:t>
      </w:r>
    </w:p>
    <w:p>
      <w:r>
        <w:t>Bundesgericht, 2017-04-25, DE</w:t>
      </w:r>
    </w:p>
    <w:p>
      <w:r>
        <w:rPr>
          <w:b/>
        </w:rPr>
        <w:t xml:space="preserve">Quelle: </w:t>
      </w:r>
      <w:r>
        <w:t>https://mcp.opencaselaw.ch/entscheid/bger_1B_95_2017</w:t>
      </w:r>
    </w:p>
    <w:p>
      <w:r>
        <w:t>FR: TF 1B_95/2017 du 25 avril 2017</w:t>
      </w:r>
    </w:p>
    <w:p>
      <w:r>
        <w:t>IT: TF 1B_95/2017 del 25 aprile 2017</w:t>
      </w:r>
    </w:p>
    <w:p>
      <w:pPr>
        <w:pStyle w:val="Heading2"/>
      </w:pPr>
      <w:r>
        <w:t>Erwägungen</w:t>
      </w:r>
    </w:p>
    <w:p>
      <w:r>
        <w:rPr>
          <w:b/>
        </w:rPr>
        <w:t>E. 1.1</w:t>
      </w:r>
    </w:p>
    <w:p>
      <w:r>
        <w:t>Der angefochtene Beschluss des Obergerichts betrifft die Anordnung der Sicherheitshaft. Dagegen ist die Beschwerde in Strafsachen nach Art. 78 ff. BGG gegeben.</w:t>
      </w:r>
    </w:p>
    <w:p>
      <w:r>
        <w:rPr>
          <w:b/>
        </w:rPr>
        <w:t>E. 1.2</w:t>
      </w:r>
    </w:p>
    <w:p>
      <w:r>
        <w:t>Gemäss Art. 81 Abs. 1 lit. a und b BGG ist zur Beschwerde berechtigt, wer vor der Vorinstanz am Verfahren teilgenommen und ein rechtlich geschütztes Interesse an der Aufhebung oder Änderung des angefochtenen Entscheids hat.</w:t>
      </w:r>
    </w:p>
    <w:p>
      <w:r>
        <w:t>Das Interesse des Beschwerdeführers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An diesen Voraussetzungen fehlt es indessen in der Regel bei Haftbeschwerden und so auch im zu beurteilenden Fall (vgl. BGE 125 I 394 E. 4b S. 397 f. mit Hinweisen; Urteil 1C_42/2014 vom 14. Februar 2014 E. 1.2).</w:t>
      </w:r>
    </w:p>
    <w:p>
      <w:r>
        <w:rPr>
          <w:b/>
        </w:rPr>
        <w:t>E. 1.3</w:t>
      </w:r>
    </w:p>
    <w:p>
      <w:r>
        <w:t>Unter besonderen Umständen behandelt das Bundesgericht Beschwerden trotz Entlastung des Beschwerdeführers aus der Haft. Solche Umstände liegen vor, wenn eine Verletzung der Europäischen Menschenrechtskonvention offensichtlich ist und dem Beschwerdeführer durch die entsprechende Feststellung und eine für ihn vorteilhafte Kostenregelung sogleich die verlangte Wiedergutmachung verschafft werden kann ( BGE 136 I 274 ). Seit dem Urteil des EGMR i.S.</w:t>
      </w:r>
    </w:p>
    <w:p>
      <w:r>
        <w:t>Jusic gegen die Schweiz vom 2. Dezember 2010 (Nr. 4691/06) geht das Bundesgericht noch etwas weiter und prüft die Haft nach der Entlassung des Beschwerdeführers auch dann, wenn dieser bloss eine Verletzung von Bestimmungen der EMRK rügt. Es verlangt allerdings, dass der Beschwerdeführer die behauptete EMRK-Verletzung in einer Weise begründet, die den Anforderungen von Art. 106 Abs. 2 BGG genügt und die Rügen "défendable" erscheinen ( BGE 137 I 296 E. 4.3.4 S. 302; vgl. zum Ganzen Urteil 1C_42/2014 vom 14. Februar 2014 E. 1.2).</w:t>
      </w:r>
    </w:p>
    <w:p>
      <w:r>
        <w:t>Der Beschwerdeführer rügt keine Verletzung der EMRK und eine solche ist auch nicht ersichtlich.</w:t>
      </w:r>
    </w:p>
    <w:p>
      <w:r>
        <w:rPr>
          <w:b/>
        </w:rPr>
        <w:t>E. 1.4</w:t>
      </w:r>
    </w:p>
    <w:p>
      <w:r>
        <w:t>Ein rechtlich geschütztes Interesse daran, die Unrechtmässigkeit der Sicherheitshaft festzustellen, ist auch im Hinblick auf allfällige Entschädigungsansprüche des Beschwerdeführers zu verneinen. Schadenersatz- und Genugtuungsansprüche können vor Gericht unabhängig davon geltend gemacht werden, ob die Rechtswidrigkeit einer Zwangsmassnahme vorgängig festgestellt worden ist ( BGE 125 I 394 E. 4a S. 397; Urteil 1B_704/2012 vom 14. Dezember 2012 E. 2.3).</w:t>
      </w:r>
    </w:p>
    <w:p>
      <w:r>
        <w:rPr>
          <w:b/>
        </w:rPr>
        <w:t>E. 1.5</w:t>
      </w:r>
    </w:p>
    <w:p>
      <w:r>
        <w:t>Der Beschwerdeführer ist jedoch beschwert und verfügt, namentlich mit Blick auf seinen Anspruch auf eine wirksame Haftbeschwerde (Art. 5 i.V.m. Art. 13 EMRK ), über ein aktuelles Interesse, soweit ihm für das vorinstanzliche Verfahren Kosten von Fr. 1'200.-- auferlegt worden sind (vgl. Urteil 1B_204/2016 vom 22. Juli 2016 E. 3.5). Insoweit ist auf die Beschwerde einzutreten.</w:t>
      </w:r>
    </w:p>
    <w:p>
      <w:r>
        <w:rPr>
          <w:b/>
        </w:rPr>
        <w:t>E. 2</w:t>
      </w:r>
    </w:p>
    <w:p>
      <w:r>
        <w:t>Die Vorinstanz hat die Kostenauflage auf Art. 428 Abs. 1 StPO gestützt, wonach die Parteien die Kosten des Rechtsmittelverfahrens nach Massgabe ihres Obsiegens oder Unterliegens tragen (Beschluss vom 9. Februar 2017 E. 6).</w:t>
      </w:r>
    </w:p>
    <w:p>
      <w:r>
        <w:t>Der Beschwerdeführer stützt sich in seiner Beschwerdebegründung an das Bundesgericht vom 15. März 2017 in der Hauptsache auf das forensisch-psychiatrische Gutachten vom 2. März 2017 (Beschwerde S. 5 ff. mit Hinweisen auf das Gutachten S. 57, 58, 69, 71 und 74). Er legt indes nicht dar, inwiefern der angefochtene Beschluss vom 9. Februar 2017, welcher die Erkenntnisse dieses Gutachtens noch nicht berücksichtigen konnte und dieses ausdrücklich vorbehielt (vgl. Sachverhalt lit. B. hiervor), gegen Bundesrecht verstossen sollte. Dies ist auch nicht ersichtlich. Die Vorinstanz ist bei ihrer Beweiswürdigung nicht in Willkür verfallen, indem sie bis zum Vorliegen des forensisch-psychiatrischen Gutachtens der UPK Basel auf die Einschätzung von Dr. med. B.________ abgestellt hat. Wie von ihr dargelegt und vom Beschwerdeführer auch nicht bestritten, handelt es sich bei Dr. med. B.________ um einen erfahrenen Facharzt, der mit dem Beschwerdeführer unter anderem 12 Gespräche geführt und seine Beurteilung somit insoweit breit abgestützt hat. Die Beschwerdeabweisung durch die Vorinstanz und als Folge davon die Kostenauflage nach dem Unterliegerprinzip verletzen kein Bundesrecht.</w:t>
      </w:r>
    </w:p>
    <w:p>
      <w:r>
        <w:rPr>
          <w:b/>
        </w:rPr>
        <w:t>E. 3</w:t>
      </w:r>
    </w:p>
    <w:p>
      <w:r>
        <w:t>Die Beschwerde ist damit abzuweisen, soweit darauf eingetreten werden kann.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