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1B_95/2013 vom 25. März 2013</w:t>
      </w:r>
    </w:p>
    <w:p>
      <w:r>
        <w:t>Bundesgericht, 2013-03-25, FR</w:t>
      </w:r>
    </w:p>
    <w:p>
      <w:r>
        <w:rPr>
          <w:b/>
        </w:rPr>
        <w:t xml:space="preserve">Quelle: </w:t>
      </w:r>
      <w:r>
        <w:t>https://mcp.opencaselaw.ch/entscheid/bger_1B_95_2013</w:t>
      </w:r>
    </w:p>
    <w:p>
      <w:r>
        <w:t>FR: TF 1B_95/2013 du 25 mars 2013</w:t>
      </w:r>
    </w:p>
    <w:p>
      <w:r>
        <w:t>IT: TF 1B_95/2013 del 25 marzo 2013</w:t>
      </w:r>
    </w:p>
    <w:p>
      <w:pPr>
        <w:pStyle w:val="Heading2"/>
      </w:pPr>
      <w:r>
        <w:t>Erwägungen</w:t>
      </w:r>
    </w:p>
    <w:p>
      <w:r>
        <w:rPr>
          <w:b/>
        </w:rPr>
        <w:t>E. 1</w:t>
      </w:r>
    </w:p>
    <w:p>
      <w:r>
        <w:t>Le recours en matière pénale ( art. 78 al. 1 LTF ) est ouvert contre une décision relative à la détention au titre d'exécution anticipée de la peine au sens de l' art. 236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La poursuite de la détention sous la forme de l'exécution anticipée de la peine présuppose l'existence d'un motif de détention provisoire particulier. Or, une mesure de détention provisoire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3</w:t>
      </w:r>
    </w:p>
    <w:p>
      <w:r>
        <w:t>Le recourant ne prétend pas que les conditions énumérées à l' art. 221 CPP ne seraient pas réalisées en l'espèce. Il affirme que la décision du 26 octobre 2012 autorisant l'exécution anticipée de sa peine est nulle et non avenue, en raison d'un vice de volonté.</w:t>
      </w:r>
    </w:p>
    <w:p>
      <w:r>
        <w:t>A cet égard, le Tribunal cantonal a relevé que le défenseur d'office du recourant figurait parmi les destinataires de l'autorisation d'exécution anticipée de peine que le Ministère public avait adressée le 26 octobre 2012 à l'Office d'exécution des peines. Il a aussi souligné qu'il ressortait des pièces de forme consignées au dossier que l'avocat avait consulté le dossier le 19 novembre 2012. Il en a déduit que, dans l'hypothèse extraordinaire où la décision du 26 octobre 2012 ne serait pas parvenue au défenseur du recourant, il fallait conclure que celui-ci avait pris connaissance de l'acte litigieux au plus tard le 19 novembre 2012; le délai de recours de 10 jours au sens de l' art. 396 al. 1 CPP avait donc commencé à courir le 20 novembre 2012 et avait expiré le 29 novembre suivant; déposé le 24 janvier 2013, le recours était largement tardif et par conséquent irrecevable.</w:t>
      </w:r>
    </w:p>
    <w:p>
      <w:r>
        <w:t>Le recourant ne met pas en cause cette argumentation. Il insiste sur le fait que la demande d'exécution anticipée de la peine doit être formée librement et expressément par un détenu qui en comprenne la portée. Il avance avoir signé un formulaire en français de demande d'exécution de peine en le motivant en anglais par ces mots: "I need some money to buy my personal stuff". Il prétend qu'au moment de la signature de ce formulaire, il ne disposait d'informations à son sujet ni de la part du personnel administratif de la prison ni de la part de son conseil. Il se plaint du manque de diligence de la direction de la procédure à cet égard.</w:t>
      </w:r>
    </w:p>
    <w:p>
      <w:r>
        <w:t>Ses critiques ne peuvent être suivies, dans la mesure où le recourant est assisté d'un mandataire professionnel depuis sa mise en détention en avril 2012. Or, on peut raisonnablement exiger d'un avocat qu'il renseigne son client sur le régime de l'exécution anticipée de peine, et, lorsqu'il a connaissance de la décision du Ministère public autorisant le prévenu à exécuter sa peine de manière anticipée, qu'il réagisse - si cela correspond aux intérêts de son client (cf. art 128 CPP ) - en recourant contre cette décision dans le délai légal. Dans ces conditions, c'est à juste titre que le Tribunal cantonal a retenu que le recours contre la décision du 26 octobre 2012, déposé seulement le 24 janvier 2013, était tardif.</w:t>
      </w:r>
    </w:p>
    <w:p>
      <w:r>
        <w:rPr>
          <w:b/>
        </w:rPr>
        <w:t>E. 4</w:t>
      </w:r>
    </w:p>
    <w:p>
      <w:r>
        <w:t>Le recourant soutient également que l'exécution anticipée de peine dont il bénéficie ne dispense pas la direction de la procédure de solliciter périodiquement la prolongation de la détention provisoire notamment en raison de la systématique du CPP qui traite de l'exécution anticipée de peine au chapitre 3 intitulé "Privation de liberté, détention provisoire et détention pour des motifs de sûreté". Il prétend aussi que sa détention ne repose sur aucun titre de détention depuis le 4 janvier 2013.</w:t>
      </w:r>
    </w:p>
    <w:p>
      <w:r>
        <w:rPr>
          <w:b/>
        </w:rPr>
        <w:t>E. 4.1</w:t>
      </w:r>
    </w:p>
    <w:p>
      <w:r>
        <w:t>Dans un arrêt récent, le Tribunal fédéral a traité de la question du contrôle périodique automatique de la détention au titre d'exécution anticipée de peine au sens de l' art. 236 CPP (arrêt 1B_81/2013 du 14 mars 2013 consid. 4, destiné à la publication). Il a d'abord rappelé que la détention provisoire s'achève lorsque le prévenu commence à purger sa sanction privative de liberté de manière anticipée ( art. 220 al. 1 2 ème hypothèse CPP). Il a ensuite considéré que, dans la mesure où le détenu avait donné son consentement pour exécuter sa peine de manière anticipée, il avait par là même renoncé à certains des droits que lui confère l' art. 5 CEDH , dont celui au contrôle périodique automatique de sa détention. Il a enfin précisé que le prévenu a la possibilité de solliciter en tout temps sa mise en liberté, en vertu des art. 31 al. 4 Cst. et 5 ch. 4 CEDH .</w:t>
      </w:r>
    </w:p>
    <w:p>
      <w:r>
        <w:rPr>
          <w:b/>
        </w:rPr>
        <w:t>E. 4.2</w:t>
      </w:r>
    </w:p>
    <w:p>
      <w:r>
        <w:t>En l'occurrence, la détention provisoire du recourant a pris fin le 30 octobre 2012, date à laquelle il a commencé à exécuter sa peine de manière anticipée. Dès lors qu'il a demandé à bénéficier du régime d'exécution anticipée de sa peine et qu'il est désormais détenu à ce titre, il ne peut prétendre au contrôle périodique de sa détention, pour les motifs qui ont été exposés au considérant précédent.</w:t>
      </w:r>
    </w:p>
    <w:p>
      <w:r>
        <w:t>Pour le reste, le recourant a en tout temps la possibilité de demander sa mise en liberté. Tant qu'il ne le demande pas, son consentement pour l'exécution anticipée de la peine est toujours valable, de sorte que la question du titre de détention ne se pose pas.</w:t>
      </w:r>
    </w:p>
    <w:p>
      <w:r>
        <w:rPr>
          <w:b/>
        </w:rPr>
        <w:t>E. 5</w:t>
      </w:r>
    </w:p>
    <w:p>
      <w:r>
        <w:t>Il s'ensuit que le recours doit être rejeté. Le recourant a demandé l'assistance judiciaire et les conditions en paraissent réunies puisque la question du contrôle périodique automatique de la détention au titre d'exécution anticipée de peine a été tranchée par la jurisprudence après le dépôt du présent recours ( art. 64 al. 1 LTF ). Il y a lieu de désigner Me Pierre Charpié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