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1B_94/2020 vom 13. März 2020</w:t>
      </w:r>
    </w:p>
    <w:p>
      <w:r>
        <w:t>Bundesgericht, 2020-03-13, DE</w:t>
      </w:r>
    </w:p>
    <w:p>
      <w:r>
        <w:rPr>
          <w:b/>
        </w:rPr>
        <w:t xml:space="preserve">Quelle: </w:t>
      </w:r>
      <w:r>
        <w:t>https://mcp.opencaselaw.ch/entscheid/bger_1B_94_2020</w:t>
      </w:r>
    </w:p>
    <w:p>
      <w:r>
        <w:t>FR: TF 1B_94/2020 du 13 mars 2020</w:t>
      </w:r>
    </w:p>
    <w:p>
      <w:r>
        <w:t>IT: TF 1B_94/2020 del 13 marzo 2020</w:t>
      </w:r>
    </w:p>
    <w:p>
      <w:pPr>
        <w:pStyle w:val="Heading2"/>
      </w:pPr>
      <w:r>
        <w:t>Erwägungen</w:t>
      </w:r>
    </w:p>
    <w:p>
      <w:r>
        <w:rPr>
          <w:b/>
        </w:rPr>
        <w:t>E. 1</w:t>
      </w:r>
    </w:p>
    <w:p>
      <w:r>
        <w:t>Die beiden Beschwerden betreffen zwar verschiedene Strafverfahren, sind aber gleichgelagert und wurden vom Beschwerdeführer in einer Eingabe eingereicht; es rechtfertigt sich daher, sie zu vereinigen.</w:t>
      </w:r>
    </w:p>
    <w:p>
      <w:r>
        <w:rPr>
          <w:b/>
        </w:rPr>
        <w:t>E. 2</w:t>
      </w:r>
    </w:p>
    <w:p>
      <w:r>
        <w:t>Angefochten sind kantonal letztinstanzliche Entscheide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Der Beschwerdeführer macht geltend, dem Obergericht sei bekannt gewesen, dass er über keine flüssigen Mittel verfüge und daher keine Prozesskaution bezahlen könne. Bei Bedarf hätte es auch einen aktuellen Nachweis über seine aktuellen finanziellen Verhältnisse anfordern können. Zudem habe er in beiden Verfahren Gesuche um unentgeltliche Rechtspflege gestellt.</w:t>
      </w:r>
    </w:p>
    <w:p>
      <w:r>
        <w:t>Letzteres trifft zwar zu, die Gesuche um unentgeltliche Rechtspflege wurden indessen am 8. Oktober 2019 bzw. am 9. Oktober 2019 abgewiesen. Sie wurden laut Vermerk auf den Verfügungen jeweils am Folgetag zugestellt und blieben unangefochten. Es ist unter diesen Umständen weder dargetan noch ersichtlich, inwiefern der Obergerichtsvizepräsident Bundesrecht verletzt haben könnte, indem er vom Beschwerdeführer Kostensicherheiten für die von ihm angestrengten Verfahren verlangte. Auf die Beschwerden ist wegen Verletzung der gesetzlichen Begründungspflicht nicht einzutreten, und zwar, weil der Mangel offenkundig ist, im vereinfachten Verfahren. Auf die Erhebung von Gerichtskosten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