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1B_93/2008 vom 12. Juni 2008</w:t>
      </w:r>
    </w:p>
    <w:p>
      <w:r>
        <w:t>Bundesgericht, 2008-06-12, FR</w:t>
      </w:r>
    </w:p>
    <w:p>
      <w:r>
        <w:rPr>
          <w:b/>
        </w:rPr>
        <w:t xml:space="preserve">Quelle: </w:t>
      </w:r>
      <w:r>
        <w:t>https://mcp.opencaselaw.ch/entscheid/bger_1B_93_2008</w:t>
      </w:r>
    </w:p>
    <w:p>
      <w:r>
        <w:t>FR: TF 1B_93/2008 du 12 juin 2008</w:t>
      </w:r>
    </w:p>
    <w:p>
      <w:r>
        <w:t>IT: TF 1B_93/2008 del 12 giugno 2008</w:t>
      </w:r>
    </w:p>
    <w:p>
      <w:pPr>
        <w:pStyle w:val="Heading2"/>
      </w:pPr>
      <w:r>
        <w:t>Erwägungen</w:t>
      </w:r>
    </w:p>
    <w:p>
      <w:r>
        <w:rPr>
          <w:b/>
        </w:rPr>
        <w:t>E. 1</w:t>
      </w:r>
    </w:p>
    <w:p>
      <w:r>
        <w:t>Conformément aux art. 78 et 92 al. 1 LTF , une décision relative à la récusation d'un juge - ou d'un tribunal - pénal peut immédiatement faire l'objet d'un recours en matière pénale. L'accusé et auteur de la demande de récusation a qualité pour agir ( art. 81 al. 1 LTF ). Le recourant ayant agi dans le délai de trente jours prescrit à l' art. 100 al. 1 LTF et la décision attaquée ayant été rendue en dernière instance cantonale, le recours est donc recevable.</w:t>
      </w:r>
    </w:p>
    <w:p>
      <w:r>
        <w:rPr>
          <w:b/>
        </w:rPr>
        <w:t>E. 2</w:t>
      </w:r>
    </w:p>
    <w:p>
      <w:r>
        <w:t>La garantie d'un tribunal indépendant et impartial instituée par les art. 30 al. 1 Cst. et 6 par. 1 CEDH - qui ont, sous cet angle, la même portée ( ATF 116 Ia 135 consid. 2e p. 138) - permet d'exiger la récusation d'un juge dont la situation ou le comportement est de nature à faire naître un doute sur son impartialité (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127 I 196 consid. 2b p. 198). Le plaideur est fondé à mettre en doute l'impartialité d'un juge lorsque celui-ci révèle, par des déclarations avant ou pendant la procédure, une opinion qu'il a déjà acquise sur l'issue à donner au litige ( ATF 125 I 119 consid. 3a p. 122).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 ATF 125 I 119 consid. 3e p. 124; 116 Ia 135 consid. 3a p. 138). Une garantie similaire à celle de l' art. 30 al. 1 Cst. est déduite de l' art. 29 al. 1 Cst. , s'agissant des juges d'instruction qui, comme en l'espèce, n'exercent pas de fonctions juridictionnelles au sens étroit ( ATF 127 I 196 consid. 2b p. 198; 125 I 119 consid. 3b p. 123 et les arrêts cités).</w:t>
      </w:r>
    </w:p>
    <w:p>
      <w:r>
        <w:t>Le recourant se plaint aussi d'une application arbitraire de l' art. 34 let . c du code de procédure pénale du canton du Valais (ci-après: CPP/VS). Il ne prétend cependant pas que cette disposition lui conférerait des droits plus étendus que la disposition constitutionnelle. C'est ainsi exclusivement à la lumière de cette dernière qu'il convient d'examiner le grief tiré de la violation du droit à un juge indépendant et impartial.</w:t>
      </w:r>
    </w:p>
    <w:p>
      <w:r>
        <w:rPr>
          <w:b/>
        </w:rPr>
        <w:t>E. 3</w:t>
      </w:r>
    </w:p>
    <w:p>
      <w:r>
        <w:t>Le recourant invoque la partialité du magistrat instructeur, soutenant que la décision de la Présidente du Tribunal cantonal omettrait de prendre en considération différentes erreurs de procédure figurant parmi les griefs de la requête de récusation.</w:t>
      </w:r>
    </w:p>
    <w:p>
      <w:r>
        <w:rPr>
          <w:b/>
        </w:rPr>
        <w:t>E. 3.1</w:t>
      </w:r>
    </w:p>
    <w:p>
      <w:r>
        <w:t>Le recourant ne conteste donc pas le rejet par la Présidente du Tribunal cantonal des motifs de récusation allégués. Il ne soutient en particulier plus que le fait que le juge d'instruction aurait demandé à l'avocate des plaignantes des extraits de doctrine notamment - pour sa propre compréhension du dossier - serait un signe de partialité. Il ne fait plus valoir non plus que la citation qui lui aurait été attribuée à tort aurait été déterminante dans l'exécution de la demande d'entraide internationale. Enfin, il ne prétend plus que le comportement du magistrat consistant à ne pas donner suite à ses démarches, ou seulement avec retard, serait de nature à faire douter de l'impartialité de ce dernier.</w:t>
      </w:r>
    </w:p>
    <w:p>
      <w:r>
        <w:t>Le recourant reprend certes ses critiques en relation avec l'expert D.________. Il estime que la Présidente du Tribunal cantonal n'a pas relevé les erreurs commises par le juge d'instruction dans ce cadre. Il n'en est rien. Loin de nier l'existence de vices de procédure, la Présidente du Tribunal cantonal a jugé qu'il ressortait du dossier que le statut de D.________ allait être précisé par le juge d'instruction et qu'il n'appartenait dès lors pas à une autorité de récusation de se prononcer elle-même sur cette question, pas plus que sur le sérieux et la pertinence du rapport délivré d'ailleurs. Comme le recourant ne conteste pas cette appréciation, son grief sur ce point doit être écarté.</w:t>
      </w:r>
    </w:p>
    <w:p>
      <w:r>
        <w:t>Selon le recourant, la décision entreprise ne mentionnerait par ailleurs pas qu'il avait été nécessaire de mettre le juge d'instruction en demeure pour permettre le prélèvement du minimum vital sur les comptes séquestrés. Il s'avère au contraire que la Présidente du Tribunal cantonal a considéré que le magistrat avait rapidement atténué la rigueur de sa décision de séquestre et a souligné que cet assouplissement était intervenu à la requête du recourant. Le grief n'a dès lors aucun fondement. Au demeurant, le fait que le recourant ait relancé le juge d'instruction quelques jours après sa requête ne saurait constituer un indice de prévention.</w:t>
      </w:r>
    </w:p>
    <w:p>
      <w:r>
        <w:t>Pour le surplus, le recourant reproche à la Présidente du Tribunal cantonal de ne pas avoir examiné des griefs qui ne figurent pourtant pas dans sa demande de récusation (copie des disques durs, surveillance par les autorités suisses d'un serveur à l'étranger, etc.). Ces derniers sont donc irrecevables.</w:t>
      </w:r>
    </w:p>
    <w:p>
      <w:r>
        <w:rPr>
          <w:b/>
        </w:rPr>
        <w:t>E. 3.2</w:t>
      </w:r>
    </w:p>
    <w:p>
      <w:r>
        <w:t>Après avoir soigneusement rejeté chacun des griefs de façon motivée, la Présidente du Tribunal cantonal a indiqué que toutes les parties, y compris le Ministère public, se plaignaient des erreurs commises par le juge d'instruction. Elle a jugé que, loin de démontrer une quelconque partialité, la convergence de ces critiques mettait plutôt en évidence l'absence de rapport entre les lacunes invoquées par le recourant et une éventuelle prévention du juge d'instruction à son encontre.</w:t>
      </w:r>
    </w:p>
    <w:p>
      <w:r>
        <w:t>Le recourant conteste cette argumentation. Il serait selon lui erroné de prétendre que les lacunes de la procédure auraient nui à toutes les parties. Il soutient que l'absence d'octroi de mandat précis à l'expert D.________ aurait pour conséquence qu'il ignorerait comment les preuves avaient été collectées. Sur ce point, la Présidente du Tribunal cantonal a relevé que le Ministère public lui-même s'inquiétait de ce que les vices observés puissent affaiblir l'accusation, ce que le recourant ne conteste pas.</w:t>
      </w:r>
    </w:p>
    <w:p>
      <w:r>
        <w:t>Le recourant mentionne en outre que la restitution de la provision exigée par le juge d'instruction aurait pu le priver d'une défense efficace. Il est vrai que la Présidente du Tribunal cantonal a omis de traiter ce grief, qui figurait pourtant dans la demande de récusation. Quoi qu'il en soit, il est exclu que cet événement puisse à lui seul faire douter de l'impartialité du magistrat. En effet, comme le juge d'instruction cantonal E.________ l'a observé, l'autorité de plainte a souligné que la décision litigieuse avait été prise en simple exécution du prononcé du 19 juillet 2007 ordonnant au juge d'instruction de séquestrer les comptes bancaires concernés. L'interprétation de la décision du 19 juillet 2007 faite par ce dernier, quoique incorrecte selon l'autorité de plainte, ne saurait dès lors être considérée comme un motif de récusation.</w:t>
      </w:r>
    </w:p>
    <w:p>
      <w:r>
        <w:t>Dans ces circonstances, l'absence de partialité du juge d'instruction doit être confirmée.</w:t>
      </w:r>
    </w:p>
    <w:p>
      <w:r>
        <w:rPr>
          <w:b/>
        </w:rPr>
        <w:t>E. 4</w:t>
      </w:r>
    </w:p>
    <w:p>
      <w:r>
        <w:t>En tête de son recours, le recourant fait également valoir une violation de l' art. 6 par. 1 CEDH au motif que, malgré toutes les critiques émises, le dossier continuerait à être traité par un magistrat ne disposant ni de la capacité, ni de la structure suffisante pour mener à bien une procédure de cette envergure.</w:t>
      </w:r>
    </w:p>
    <w:p>
      <w:r>
        <w:t>Ce reproche est à l'évidence irrecevable et on peut renvoyer le recourant aux observations de la Présidente du Tribunal cantonal sur ce point. Cette dernière a relevé avec raison que l'autorité de récusation n'était pas habilitée à surveiller, à diriger les procédures instruites par les juges d'instruction ou à dessaisir ces derniers pour des raisons d'opportunité, de surcharge ou d'organisation du travail (art. 11 al. 2 de la loi d'organisation judiciaire du canton du Valais). Elle avait pour seul devoir de veiller à ce qu'aucune apparence de prévention du juge n'entache la procédure. Il découle de ce qui précède que les problèmes invoqués, bien que réels, ne peuvent pas conduire au dessaisissement de ce dernier par le biais d'une procédure de récusation puisqu'ils ne sont pas l'expression d'une quelconque prévention du juge.</w:t>
      </w:r>
    </w:p>
    <w:p>
      <w:r>
        <w:rPr>
          <w:b/>
        </w:rPr>
        <w:t>E. 5</w:t>
      </w:r>
    </w:p>
    <w:p>
      <w:r>
        <w:t>Il s'ensuit que le recours doit être rejeté dans la mesure où il est recevable. Le recourant, qui succombe, doit supporter les frais judiciaires ( art. 65 et 66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